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2A4A" w:val="clear"/>
            <w:tcMar>
              <w:top w:type="dxa" w:w="500"/>
              <w:left w:type="dxa" w:w="600"/>
              <w:bottom w:type="dxa" w:w="500"/>
              <w:right w:type="dxa" w:w="600"/>
            </w:tcMar>
          </w:tcPr>
          <w:p>
            <w:pPr>
              <w:spacing w:before="0" w:after="80"/>
              <w:jc w:val="center"/>
            </w:pPr>
            <w:r>
              <w:rPr>
                <w:sz w:val="72"/>
                <w:szCs w:val="72"/>
              </w:rPr>
              <w:t xml:space="preserve">🌟</w:t>
            </w:r>
          </w:p>
          <w:p>
            <w:pPr>
              <w:spacing w:before="0" w:after="60"/>
              <w:jc w:val="center"/>
            </w:pPr>
            <w:r>
              <w:rPr>
                <w:rFonts w:ascii="Georgia" w:cs="Georgia" w:eastAsia="Georgia" w:hAnsi="Georgia"/>
                <w:b/>
                <w:bCs/>
                <w:color w:val="FFFFFF"/>
                <w:sz w:val="52"/>
                <w:szCs w:val="52"/>
              </w:rPr>
              <w:t xml:space="preserve">Next-Generation Readiness Assessment</w:t>
            </w:r>
          </w:p>
          <w:p>
            <w:pPr>
              <w:spacing w:before="0" w:after="80"/>
              <w:jc w:val="center"/>
            </w:pPr>
            <w:r>
              <w:rPr>
                <w:rFonts w:ascii="Calibri" w:cs="Calibri" w:eastAsia="Calibri" w:hAnsi="Calibri"/>
                <w:i/>
                <w:iCs/>
                <w:color w:val="C9A84C"/>
                <w:sz w:val="24"/>
                <w:szCs w:val="24"/>
              </w:rPr>
              <w:t xml:space="preserve">Are We Ready? Is the Next Generation Ready?</w:t>
            </w:r>
          </w:p>
          <w:p>
            <w:pPr>
              <w:spacing w:before="100" w:after="0"/>
              <w:jc w:val="center"/>
            </w:pPr>
            <w:r>
              <w:rPr>
                <w:rFonts w:ascii="Calibri" w:cs="Calibri" w:eastAsia="Calibri" w:hAnsi="Calibri"/>
                <w:color w:val="AABBCC"/>
                <w:sz w:val="19"/>
                <w:szCs w:val="19"/>
              </w:rPr>
              <w:t xml:space="preserve">Prepared by The Family Business Playbook  ·  The Family Business Playbook.com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Business Name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[Legal name]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Assessment Conducted By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[Name(s) — Family Council, external advisor, or both]</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Next-Gen Candidate Name(s)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[Names of family members being assessed]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Assessment 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[Date]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Target Succession Timeline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[e.g., 3-5 years]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Next Review 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[Date — recommend annual]</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Purpose of This Assessment</w:t>
            </w:r>
          </w:p>
          <w:p>
            <w:pPr>
              <w:spacing w:before="0" w:after="0"/>
            </w:pPr>
            <w:r>
              <w:rPr>
                <w:rFonts w:ascii="Calibri" w:cs="Calibri" w:eastAsia="Calibri" w:hAnsi="Calibri"/>
                <w:color w:val="1B2A4A"/>
                <w:sz w:val="20"/>
                <w:szCs w:val="20"/>
              </w:rPr>
              <w:t xml:space="preserve">Most family business succession failures are not caused by lack of talent in the next generation — they are caused by transitions that happen too early, without adequate preparation, or without honest assessment of readiness. This assessment is designed to surface the truth about readiness on both sides: the next generation and the business itself.</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1 — Business Readiness Assessment</w:t>
      </w:r>
    </w:p>
    <w:p>
      <w:pPr>
        <w:spacing w:before="40" w:after="80"/>
      </w:pPr>
      <w:r>
        <w:rPr>
          <w:rFonts w:ascii="Calibri" w:cs="Calibri" w:eastAsia="Calibri" w:hAnsi="Calibri"/>
          <w:color w:val="444444"/>
          <w:sz w:val="21"/>
          <w:szCs w:val="21"/>
        </w:rPr>
        <w:t xml:space="preserve">Before assessing whether the next generation is ready, assess whether the business is ready for the transition. A business that is not structured for succession will fail regardless of how capable the successor is.</w:t>
      </w:r>
    </w:p>
    <w:p>
      <w:pPr>
        <w:spacing w:before="6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1.1 Governance Readiness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1440"/>
        <w:gridCol w:w="1440"/>
        <w:gridCol w:w="1680"/>
      </w:tblGrid>
      <w:tr>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Governance Element</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In Place</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Partial</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Not in Place</w:t>
            </w:r>
          </w:p>
        </w:tc>
      </w:tr>
      <w:tr>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Calibri" w:cs="Calibri" w:eastAsia="Calibri" w:hAnsi="Calibri"/>
                <w:color w:val="444444"/>
                <w:sz w:val="19"/>
                <w:szCs w:val="19"/>
              </w:rPr>
              <w:t xml:space="preserve">Family Business Constitution or governance document</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r>
              <w:rPr>
                <w:rFonts w:ascii="Calibri" w:cs="Calibri" w:eastAsia="Calibri" w:hAnsi="Calibri"/>
                <w:color w:val="444444"/>
                <w:sz w:val="19"/>
                <w:szCs w:val="19"/>
              </w:rPr>
              <w:t xml:space="preserve">Clear decision-making authority structure (3 tiers)</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Calibri" w:cs="Calibri" w:eastAsia="Calibri" w:hAnsi="Calibri"/>
                <w:color w:val="444444"/>
                <w:sz w:val="19"/>
                <w:szCs w:val="19"/>
              </w:rPr>
              <w:t xml:space="preserve">Formal Family Council with regular meeting cadence</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r>
              <w:rPr>
                <w:rFonts w:ascii="Calibri" w:cs="Calibri" w:eastAsia="Calibri" w:hAnsi="Calibri"/>
                <w:color w:val="444444"/>
                <w:sz w:val="19"/>
                <w:szCs w:val="19"/>
              </w:rPr>
              <w:t xml:space="preserve">Conflict resolution protocol</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Calibri" w:cs="Calibri" w:eastAsia="Calibri" w:hAnsi="Calibri"/>
                <w:color w:val="444444"/>
                <w:sz w:val="19"/>
                <w:szCs w:val="19"/>
              </w:rPr>
              <w:t xml:space="preserve">Shareholders' agreement or equivalent</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r>
              <w:rPr>
                <w:rFonts w:ascii="Calibri" w:cs="Calibri" w:eastAsia="Calibri" w:hAnsi="Calibri"/>
                <w:color w:val="444444"/>
                <w:sz w:val="19"/>
                <w:szCs w:val="19"/>
              </w:rPr>
              <w:t xml:space="preserve">Buy-sell agreement</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Calibri" w:cs="Calibri" w:eastAsia="Calibri" w:hAnsi="Calibri"/>
                <w:color w:val="444444"/>
                <w:sz w:val="19"/>
                <w:szCs w:val="19"/>
              </w:rPr>
              <w:t xml:space="preserve">Succession plan (documented)</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r>
              <w:rPr>
                <w:rFonts w:ascii="Calibri" w:cs="Calibri" w:eastAsia="Calibri" w:hAnsi="Calibri"/>
                <w:color w:val="444444"/>
                <w:sz w:val="19"/>
                <w:szCs w:val="19"/>
              </w:rPr>
              <w:t xml:space="preserve">Family employment policy</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5F5F5"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r>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Calibri" w:cs="Calibri" w:eastAsia="Calibri" w:hAnsi="Calibri"/>
                <w:color w:val="444444"/>
                <w:sz w:val="19"/>
                <w:szCs w:val="19"/>
              </w:rPr>
              <w:t xml:space="preserve">Compensation policy</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c>
          <w:tcPr>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t>
            </w:r>
          </w:p>
        </w:tc>
      </w:tr>
    </w:tbl>
    <w:p>
      <w:pPr>
        <w:spacing w:before="60" w:after="0"/>
      </w:pPr>
      <w:r>
        <w:t xml:space="preserve"/>
      </w:r>
    </w:p>
    <w:p>
      <w:pPr>
        <w:spacing w:before="40" w:after="80"/>
      </w:pPr>
      <w:r>
        <w:rPr>
          <w:rFonts w:ascii="Calibri" w:cs="Calibri" w:eastAsia="Calibri" w:hAnsi="Calibri"/>
          <w:color w:val="444444"/>
          <w:sz w:val="21"/>
          <w:szCs w:val="21"/>
        </w:rPr>
        <w:t xml:space="preserve">Governance Readiness Score: ___ / 9 in place. Notes: ___________________________________________</w:t>
      </w:r>
    </w:p>
    <w:p>
      <w:pPr>
        <w:spacing w:before="100" w:after="0"/>
      </w:pPr>
      <w:r>
        <w:t xml:space="preserve"/>
      </w:r>
    </w:p>
    <w:p>
      <w:r>
        <w:br w:type="page"/>
      </w:r>
    </w:p>
    <w:p>
      <w:pPr>
        <w:pStyle w:val="Heading2"/>
        <w:pBdr>
          <w:bottom w:val="single" w:color="C9A84C" w:sz="3" w:space="4"/>
        </w:pBdr>
        <w:spacing w:before="280" w:after="100"/>
      </w:pPr>
      <w:r>
        <w:rPr>
          <w:rFonts w:ascii="Georgia" w:cs="Georgia" w:eastAsia="Georgia" w:hAnsi="Georgia"/>
          <w:b/>
          <w:bCs/>
          <w:color w:val="1B2A4A"/>
          <w:sz w:val="24"/>
          <w:szCs w:val="24"/>
        </w:rPr>
        <w:t xml:space="preserve">1.2 Operational Readiness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560"/>
      </w:tblGrid>
      <w:tr>
        <w:tc>
          <w:tcPr>
            <w:tcW w:type="dxa" w:w="48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Operational Question</w:t>
            </w:r>
          </w:p>
        </w:tc>
        <w:tc>
          <w:tcPr>
            <w:tcW w:type="dxa" w:w="456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Assessment</w:t>
            </w:r>
          </w:p>
        </w:tc>
      </w:tr>
      <w:tr>
        <w:tc>
          <w:tcPr>
            <w:tcW w:type="dxa" w:w="4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Are key processes documented in SOPs so they can be followed without the current leader?</w:t>
            </w:r>
          </w:p>
        </w:tc>
        <w:tc>
          <w:tcPr>
            <w:tcW w:type="dxa" w:w="4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Are key supplier and customer relationships known to and trusted by the next generation?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r>
        <w:tc>
          <w:tcPr>
            <w:tcW w:type="dxa" w:w="4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Is the business's financial reporting clear enough for the next generation to manage?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Are there non-family senior managers who can support the next generation through transition?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r>
        <w:tc>
          <w:tcPr>
            <w:tcW w:type="dxa" w:w="4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Is the business financially healthy enough to absorb a leadership transition (adequate cash, no existential debt)?</w:t>
            </w:r>
          </w:p>
        </w:tc>
        <w:tc>
          <w:tcPr>
            <w:tcW w:type="dxa" w:w="4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Have industry-specific licences and certifications been considered for transfer?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Yes  [ ] Partial  [ ] No</w:t>
            </w:r>
          </w:p>
        </w:tc>
      </w:tr>
    </w:tbl>
    <w:p>
      <w:pPr>
        <w:spacing w:before="80" w:after="0"/>
      </w:pPr>
      <w:r>
        <w:t xml:space="preserve"/>
      </w:r>
    </w:p>
    <w:p>
      <w:pPr>
        <w:spacing w:before="40" w:after="80"/>
      </w:pPr>
      <w:r>
        <w:rPr>
          <w:rFonts w:ascii="Calibri" w:cs="Calibri" w:eastAsia="Calibri" w:hAnsi="Calibri"/>
          <w:color w:val="444444"/>
          <w:sz w:val="21"/>
          <w:szCs w:val="21"/>
        </w:rPr>
        <w:t xml:space="preserve">Notes on operational readiness gaps: ___________________________________________</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2 — Next-Generation Candidate Assessment</w:t>
      </w:r>
    </w:p>
    <w:p>
      <w:pPr>
        <w:spacing w:before="40" w:after="80"/>
      </w:pPr>
      <w:r>
        <w:rPr>
          <w:rFonts w:ascii="Calibri" w:cs="Calibri" w:eastAsia="Calibri" w:hAnsi="Calibri"/>
          <w:color w:val="444444"/>
          <w:sz w:val="21"/>
          <w:szCs w:val="21"/>
        </w:rPr>
        <w:t xml:space="preserve">Complete one assessment per candidate. Use a combination of self-assessment (by the candidate) and independent assessment (by the Family Council or an external advisor).</w:t>
      </w:r>
    </w:p>
    <w:p>
      <w:pPr>
        <w:spacing w:before="6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2.1 Competency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400"/>
        <w:gridCol w:w="1400"/>
        <w:gridCol w:w="1400"/>
        <w:gridCol w:w="1560"/>
      </w:tblGrid>
      <w:tr>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Competency</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Strong</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Developing</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Calibri" w:cs="Calibri" w:eastAsia="Calibri" w:hAnsi="Calibri"/>
                <w:b/>
                <w:bCs/>
                <w:color w:val="FFFFFF"/>
                <w:sz w:val="19"/>
                <w:szCs w:val="19"/>
              </w:rPr>
              <w:t xml:space="preserve">Gap</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Notes</w:t>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LEADERSHIP</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Ability to lead and motivate a team</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Comfort making difficult decisions under pressure</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Earns respect from non-family employees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Handles conflict and difficult conversations constructively</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BUSINESS ACUMEN</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Understands the business's financials (P&amp;L, cash flow, balance sheet)</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Can read and question financial reports critically</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Understands the business model and competitive position</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industry knowledge comparable to current leader</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OPERATIONS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worked in multiple functions of the business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Understands key operational processes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managed a team or business unit independently</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RELATIONSHIPS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established trust with key customers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relationships with key suppliers and partners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credibility with non-family senior management</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FAMILY DYNAMICS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Is respected by other family members as a leader</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Manages the family/business boundary effectively</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r>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r>
              <w:rPr>
                <w:rFonts w:ascii="Calibri" w:cs="Calibri" w:eastAsia="Calibri" w:hAnsi="Calibri"/>
                <w:b/>
                <w:bCs/>
                <w:color w:val="1B2A4A"/>
                <w:sz w:val="19"/>
                <w:szCs w:val="19"/>
              </w:rPr>
              <w:t xml:space="preserve">Has emotional maturity to lead family members</w:t>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center"/>
            </w:pPr>
            <w:r>
              <w:rPr>
                <w:rFonts w:ascii="Calibri" w:cs="Calibri" w:eastAsia="Calibri" w:hAnsi="Calibri"/>
                <w:color w:val="444444"/>
                <w:sz w:val="19"/>
                <w:szCs w:val="19"/>
              </w:rPr>
              <w:t xml:space="preserve"/>
            </w:r>
          </w:p>
        </w:tc>
        <w:tc>
          <w:tcPr>
            <w:tcBorders>
              <w:top w:val="single" w:color="CCCCCC" w:sz="1"/>
              <w:left w:val="single" w:color="CCCCCC" w:sz="1"/>
              <w:bottom w:val="single" w:color="CCCCCC" w:sz="1"/>
              <w:right w:val="single" w:color="CCCCCC" w:sz="1"/>
            </w:tcBorders>
            <w:shd w:fill="D0D8E8" w:val="clear"/>
            <w:tcMar>
              <w:top w:type="dxa" w:w="70"/>
              <w:left w:type="dxa" w:w="120"/>
              <w:bottom w:type="dxa" w:w="70"/>
              <w:right w:type="dxa" w:w="120"/>
            </w:tcMar>
          </w:tcPr>
          <w:p>
            <w:pPr>
              <w:jc w:val="left"/>
            </w:pPr>
            <w:r>
              <w:rPr>
                <w:rFonts w:ascii="Calibri" w:cs="Calibri" w:eastAsia="Calibri" w:hAnsi="Calibri"/>
                <w:color w:val="444444"/>
                <w:sz w:val="19"/>
                <w:szCs w:val="19"/>
              </w:rPr>
              <w:t xml:space="preserve"/>
            </w:r>
          </w:p>
        </w:tc>
      </w:tr>
    </w:tbl>
    <w:p>
      <w:pPr>
        <w:spacing w:before="100" w:after="0"/>
      </w:pPr>
      <w:r>
        <w:t xml:space="preserve"/>
      </w:r>
    </w:p>
    <w:p>
      <w:r>
        <w:br w:type="page"/>
      </w:r>
    </w:p>
    <w:p>
      <w:pPr>
        <w:pStyle w:val="Heading2"/>
        <w:pBdr>
          <w:bottom w:val="single" w:color="C9A84C" w:sz="3" w:space="4"/>
        </w:pBdr>
        <w:spacing w:before="280" w:after="100"/>
      </w:pPr>
      <w:r>
        <w:rPr>
          <w:rFonts w:ascii="Georgia" w:cs="Georgia" w:eastAsia="Georgia" w:hAnsi="Georgia"/>
          <w:b/>
          <w:bCs/>
          <w:color w:val="1B2A4A"/>
          <w:sz w:val="24"/>
          <w:szCs w:val="24"/>
        </w:rPr>
        <w:t xml:space="preserve">2.2 Candidate Self-Assessment Questions</w:t>
      </w:r>
    </w:p>
    <w:p>
      <w:pPr>
        <w:spacing w:before="40" w:after="80"/>
      </w:pPr>
      <w:r>
        <w:rPr>
          <w:rFonts w:ascii="Calibri" w:cs="Calibri" w:eastAsia="Calibri" w:hAnsi="Calibri"/>
          <w:color w:val="444444"/>
          <w:sz w:val="21"/>
          <w:szCs w:val="21"/>
        </w:rPr>
        <w:t xml:space="preserve">The candidate completes this section independently, in writing, before discussion with the Family Council.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Question</w:t>
            </w:r>
          </w:p>
        </w:tc>
        <w:tc>
          <w:tcPr>
            <w:tcW w:type="dxa" w:w="556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Candidate's Response</w:t>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Why do you want to lead this business? What drives you?</w:t>
            </w:r>
          </w:p>
        </w:tc>
        <w:tc>
          <w:tcPr>
            <w:tcW w:type="dxa" w:w="5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is the most significant thing you have achieved in the business so far?</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do you think is the biggest risk to this business in the next 5 years?</w:t>
            </w:r>
          </w:p>
        </w:tc>
        <w:tc>
          <w:tcPr>
            <w:tcW w:type="dxa" w:w="5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would you do differently from the current leader?</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are your three biggest development gaps as a leader?</w:t>
            </w:r>
          </w:p>
        </w:tc>
        <w:tc>
          <w:tcPr>
            <w:tcW w:type="dxa" w:w="5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support do you need from the family to succeed in this role?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How will you maintain the family relationship if you disagree with other family members about a major business decision?</w:t>
            </w:r>
          </w:p>
        </w:tc>
        <w:tc>
          <w:tcPr>
            <w:tcW w:type="dxa" w:w="5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Are you willing to be held accountable to the same performance standards as a non-family employee in this role?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What does 'being ready' look like to you? How will you know when you are ready?</w:t>
            </w:r>
          </w:p>
        </w:tc>
        <w:tc>
          <w:tcPr>
            <w:tcW w:type="dxa" w:w="55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w:r>
          </w:p>
        </w:tc>
      </w:tr>
    </w:tbl>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2.3 360-Degree Feedback (Optional but Recommended)</w:t>
      </w:r>
    </w:p>
    <w:p>
      <w:pPr>
        <w:spacing w:before="40" w:after="80"/>
      </w:pPr>
      <w:r>
        <w:rPr>
          <w:rFonts w:ascii="Calibri" w:cs="Calibri" w:eastAsia="Calibri" w:hAnsi="Calibri"/>
          <w:color w:val="444444"/>
          <w:sz w:val="21"/>
          <w:szCs w:val="21"/>
        </w:rPr>
        <w:t xml:space="preserve">Collect anonymous feedback from the following people about the candidate's readiness:</w:t>
      </w:r>
    </w:p>
    <w:p>
      <w:pPr>
        <w:pStyle w:val="ListParagraph"/>
        <w:numPr>
          <w:ilvl w:val="0"/>
          <w:numId w:val="2"/>
        </w:numPr>
        <w:spacing w:before="30" w:after="30"/>
      </w:pPr>
      <w:r>
        <w:rPr>
          <w:rFonts w:ascii="Calibri" w:cs="Calibri" w:eastAsia="Calibri" w:hAnsi="Calibri"/>
          <w:color w:val="444444"/>
          <w:sz w:val="21"/>
          <w:szCs w:val="21"/>
        </w:rPr>
        <w:t xml:space="preserve">Non-family senior managers who work with the candidate</w:t>
      </w:r>
    </w:p>
    <w:p>
      <w:pPr>
        <w:pStyle w:val="ListParagraph"/>
        <w:numPr>
          <w:ilvl w:val="0"/>
          <w:numId w:val="2"/>
        </w:numPr>
        <w:spacing w:before="30" w:after="30"/>
      </w:pPr>
      <w:r>
        <w:rPr>
          <w:rFonts w:ascii="Calibri" w:cs="Calibri" w:eastAsia="Calibri" w:hAnsi="Calibri"/>
          <w:color w:val="444444"/>
          <w:sz w:val="21"/>
          <w:szCs w:val="21"/>
        </w:rPr>
        <w:t xml:space="preserve">Key long-term employees who interact with the candidate</w:t>
      </w:r>
    </w:p>
    <w:p>
      <w:pPr>
        <w:pStyle w:val="ListParagraph"/>
        <w:numPr>
          <w:ilvl w:val="0"/>
          <w:numId w:val="2"/>
        </w:numPr>
        <w:spacing w:before="30" w:after="30"/>
      </w:pPr>
      <w:r>
        <w:rPr>
          <w:rFonts w:ascii="Calibri" w:cs="Calibri" w:eastAsia="Calibri" w:hAnsi="Calibri"/>
          <w:color w:val="444444"/>
          <w:sz w:val="21"/>
          <w:szCs w:val="21"/>
        </w:rPr>
        <w:t xml:space="preserve">One or two external stakeholders (key customer, supplier, or advisor) if appropriate</w:t>
      </w:r>
    </w:p>
    <w:p>
      <w:pPr>
        <w:spacing w:before="60" w:after="0"/>
      </w:pPr>
      <w:r>
        <w:t xml:space="preserve"/>
      </w:r>
    </w:p>
    <w:p>
      <w:pPr>
        <w:spacing w:before="40" w:after="80"/>
      </w:pPr>
      <w:r>
        <w:rPr>
          <w:rFonts w:ascii="Calibri" w:cs="Calibri" w:eastAsia="Calibri" w:hAnsi="Calibri"/>
          <w:color w:val="444444"/>
          <w:sz w:val="21"/>
          <w:szCs w:val="21"/>
        </w:rPr>
        <w:t xml:space="preserve">Use the following question framework for 360 feedback:</w:t>
      </w:r>
    </w:p>
    <w:p>
      <w:pPr>
        <w:pStyle w:val="ListParagraph"/>
        <w:numPr>
          <w:ilvl w:val="0"/>
          <w:numId w:val="2"/>
        </w:numPr>
        <w:spacing w:before="30" w:after="30"/>
      </w:pPr>
      <w:r>
        <w:rPr>
          <w:rFonts w:ascii="Calibri" w:cs="Calibri" w:eastAsia="Calibri" w:hAnsi="Calibri"/>
          <w:i/>
          <w:iCs/>
          <w:color w:val="999999"/>
          <w:sz w:val="21"/>
          <w:szCs w:val="21"/>
        </w:rPr>
        <w:t xml:space="preserve">[Does this person earn trust and respect through their own actions, or do they rely on their family position?]</w:t>
      </w:r>
    </w:p>
    <w:p>
      <w:pPr>
        <w:pStyle w:val="ListParagraph"/>
        <w:numPr>
          <w:ilvl w:val="0"/>
          <w:numId w:val="2"/>
        </w:numPr>
        <w:spacing w:before="30" w:after="30"/>
      </w:pPr>
      <w:r>
        <w:rPr>
          <w:rFonts w:ascii="Calibri" w:cs="Calibri" w:eastAsia="Calibri" w:hAnsi="Calibri"/>
          <w:i/>
          <w:iCs/>
          <w:color w:val="999999"/>
          <w:sz w:val="21"/>
          <w:szCs w:val="21"/>
        </w:rPr>
        <w:t xml:space="preserve">[How does this person handle pressure, conflict, and setbacks?]</w:t>
      </w:r>
    </w:p>
    <w:p>
      <w:pPr>
        <w:pStyle w:val="ListParagraph"/>
        <w:numPr>
          <w:ilvl w:val="0"/>
          <w:numId w:val="2"/>
        </w:numPr>
        <w:spacing w:before="30" w:after="30"/>
      </w:pPr>
      <w:r>
        <w:rPr>
          <w:rFonts w:ascii="Calibri" w:cs="Calibri" w:eastAsia="Calibri" w:hAnsi="Calibri"/>
          <w:i/>
          <w:iCs/>
          <w:color w:val="999999"/>
          <w:sz w:val="21"/>
          <w:szCs w:val="21"/>
        </w:rPr>
        <w:t xml:space="preserve">[Would you be confident following this person's leadership if the current leader stepped back?]</w:t>
      </w:r>
    </w:p>
    <w:p>
      <w:pPr>
        <w:pStyle w:val="ListParagraph"/>
        <w:numPr>
          <w:ilvl w:val="0"/>
          <w:numId w:val="2"/>
        </w:numPr>
        <w:spacing w:before="30" w:after="30"/>
      </w:pPr>
      <w:r>
        <w:rPr>
          <w:rFonts w:ascii="Calibri" w:cs="Calibri" w:eastAsia="Calibri" w:hAnsi="Calibri"/>
          <w:i/>
          <w:iCs/>
          <w:color w:val="999999"/>
          <w:sz w:val="21"/>
          <w:szCs w:val="21"/>
        </w:rPr>
        <w:t xml:space="preserve">[What one thing do they most need to develop to be effective in a senior leadership role?]</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3 — Development Plan</w:t>
      </w:r>
    </w:p>
    <w:p>
      <w:pPr>
        <w:pStyle w:val="Heading2"/>
        <w:pBdr>
          <w:bottom w:val="single" w:color="C9A84C" w:sz="3" w:space="4"/>
        </w:pBdr>
        <w:spacing w:before="280" w:after="100"/>
      </w:pPr>
      <w:r>
        <w:rPr>
          <w:rFonts w:ascii="Georgia" w:cs="Georgia" w:eastAsia="Georgia" w:hAnsi="Georgia"/>
          <w:b/>
          <w:bCs/>
          <w:color w:val="1B2A4A"/>
          <w:sz w:val="24"/>
          <w:szCs w:val="24"/>
        </w:rPr>
        <w:t xml:space="preserve">3.1 Identified Gaps and 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2000"/>
        <w:gridCol w:w="1560"/>
      </w:tblGrid>
      <w:tr>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Development Gap</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Development Activity</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Target Date</w:t>
            </w:r>
          </w:p>
        </w:tc>
        <w:tc>
          <w:tcPr>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Status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[Gap identified]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[e.g., Shadow CFO for one quarter; complete family business program at university; lead one major project independently]</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i/>
                <w:iCs/>
                <w:color w:val="999999"/>
                <w:sz w:val="19"/>
                <w:szCs w:val="19"/>
              </w:rPr>
              <w:t xml:space="preserve">[Date]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alibri" w:cs="Calibri" w:eastAsia="Calibri" w:hAnsi="Calibri"/>
                <w:color w:val="444444"/>
                <w:sz w:val="19"/>
                <w:szCs w:val="19"/>
              </w:rPr>
              <w:t xml:space="preserve">[ ] Not started</w:t>
            </w:r>
          </w:p>
        </w:tc>
      </w:tr>
    </w:tbl>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3.2 Overall Readiness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Assessment Element</w:t>
            </w:r>
          </w:p>
        </w:tc>
        <w:tc>
          <w:tcPr>
            <w:tcW w:type="dxa" w:w="616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Summary</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Business Readiness Score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[X] / 9 governance elements in place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Candidate's Strongest Area</w:t>
            </w:r>
          </w:p>
        </w:tc>
        <w:tc>
          <w:tcPr>
            <w:tcW w:type="dxa" w:w="6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[Based on competency assessment]</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Candidate's Most Critical Gap</w:t>
            </w:r>
          </w:p>
        </w:tc>
        <w:tc>
          <w:tcPr>
            <w:tcW w:type="dxa" w:w="61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[The single thing that most needs addressing before transition]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Estimated Time to Readiness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[e.g., 2 years / 3-5 years / Ready now with support]</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Recommended Transition Approach</w:t>
            </w:r>
          </w:p>
        </w:tc>
        <w:tc>
          <w:tcPr>
            <w:tcW w:type="dxa" w:w="61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Immediate  [ ] Phased over [X] years  [ ] Not yet — revisit in [X] months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External Advisor Input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[Summary of any external advisor's view, if obtained]</w:t>
            </w:r>
          </w:p>
        </w:tc>
      </w:tr>
    </w:tbl>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3.3 Acknowledgement</w:t>
      </w:r>
    </w:p>
    <w:p>
      <w:pPr>
        <w:spacing w:before="40" w:after="80"/>
      </w:pPr>
      <w:r>
        <w:rPr>
          <w:rFonts w:ascii="Calibri" w:cs="Calibri" w:eastAsia="Calibri" w:hAnsi="Calibri"/>
          <w:color w:val="444444"/>
          <w:sz w:val="21"/>
          <w:szCs w:val="21"/>
        </w:rPr>
        <w:t xml:space="preserve">This assessment has been completed in good faith and the results have been discussed with the candidate.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Council Chair</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Next-Gen Candidate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80" w:after="0"/>
      </w:pPr>
      <w:r>
        <w:t xml:space="preserve"/>
      </w:r>
    </w:p>
    <w:p>
      <w:pPr>
        <w:spacing w:before="40" w:after="80"/>
      </w:pPr>
      <w:r>
        <w:rPr>
          <w:rFonts w:ascii="Calibri" w:cs="Calibri" w:eastAsia="Calibri" w:hAnsi="Calibri"/>
          <w:color w:val="444444"/>
          <w:sz w:val="21"/>
          <w:szCs w:val="21"/>
        </w:rPr>
        <w:t xml:space="preserve">External Advisor (if involved): ___________________________  Date: ___________</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sectPr>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40"/>
      <w:outlineLvl w:val="0"/>
    </w:pPr>
    <w:rPr>
      <w:rFonts w:ascii="Georgia" w:cs="Georgia" w:eastAsia="Georgia" w:hAnsi="Georgia"/>
      <w:b/>
      <w:bCs/>
      <w:color w:val="1B2A4A"/>
      <w:sz w:val="30"/>
      <w:szCs w:val="30"/>
    </w:rPr>
  </w:style>
  <w:style w:type="paragraph" w:styleId="Heading2">
    <w:name w:val="Heading 2"/>
    <w:basedOn w:val="Normal"/>
    <w:next w:val="Normal"/>
    <w:qFormat/>
    <w:pPr>
      <w:spacing w:before="280" w:after="10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2026-03-05T19:59:33.100Z</dcterms:created>
  <dcterms:modified xsi:type="dcterms:W3CDTF">2026-03-05T19:59:33.100Z</dcterms:modified>
</cp:coreProperties>
</file>

<file path=docProps/custom.xml><?xml version="1.0" encoding="utf-8"?>
<Properties xmlns="http://schemas.openxmlformats.org/officeDocument/2006/custom-properties" xmlns:vt="http://schemas.openxmlformats.org/officeDocument/2006/docPropsVTypes"/>
</file>