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B2A4A" w:val="clear"/>
            <w:tcMar>
              <w:top w:type="dxa" w:w="500"/>
              <w:left w:type="dxa" w:w="600"/>
              <w:bottom w:type="dxa" w:w="500"/>
              <w:right w:type="dxa" w:w="600"/>
            </w:tcMar>
          </w:tcPr>
          <w:p>
            <w:pPr>
              <w:spacing w:before="0" w:after="80"/>
              <w:jc w:val="center"/>
            </w:pPr>
            <w:r>
              <w:rPr>
                <w:sz w:val="72"/>
                <w:szCs w:val="72"/>
              </w:rPr>
              <w:t xml:space="preserve">💰</w:t>
            </w:r>
          </w:p>
          <w:p>
            <w:pPr>
              <w:spacing w:before="0" w:after="60"/>
              <w:jc w:val="center"/>
            </w:pPr>
            <w:r>
              <w:rPr>
                <w:rFonts w:ascii="Georgia" w:cs="Georgia" w:eastAsia="Georgia" w:hAnsi="Georgia"/>
                <w:b/>
                <w:bCs/>
                <w:color w:val="FFFFFF"/>
                <w:sz w:val="52"/>
                <w:szCs w:val="52"/>
              </w:rPr>
              <w:t xml:space="preserve">Family Member Compensation Policy</w:t>
            </w:r>
          </w:p>
          <w:p>
            <w:pPr>
              <w:spacing w:before="0" w:after="80"/>
              <w:jc w:val="center"/>
            </w:pPr>
            <w:r>
              <w:rPr>
                <w:rFonts w:ascii="Calibri" w:cs="Calibri" w:eastAsia="Calibri" w:hAnsi="Calibri"/>
                <w:i/>
                <w:iCs/>
                <w:color w:val="C9A84C"/>
                <w:sz w:val="24"/>
                <w:szCs w:val="24"/>
              </w:rPr>
              <w:t xml:space="preserve">How We Pay Family Members Fairly and Transparently</w:t>
            </w:r>
          </w:p>
          <w:p>
            <w:pPr>
              <w:spacing w:before="100" w:after="0"/>
              <w:jc w:val="center"/>
            </w:pPr>
            <w:r>
              <w:rPr>
                <w:rFonts w:ascii="Calibri" w:cs="Calibri" w:eastAsia="Calibri" w:hAnsi="Calibri"/>
                <w:color w:val="AABBCC"/>
                <w:sz w:val="19"/>
                <w:szCs w:val="19"/>
              </w:rPr>
              <w:t xml:space="preserve">Prepared by The Family Business Playbook  ·  The Family Business Playbook.com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Business Name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iCs/>
                <w:color w:val="999999"/>
                <w:sz w:val="20"/>
                <w:szCs w:val="20"/>
              </w:rPr>
              <w:t xml:space="preserve">[Legal name]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Policy Version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val="false"/>
                <w:iCs w:val="false"/>
                <w:color w:val="444444"/>
                <w:sz w:val="20"/>
                <w:szCs w:val="20"/>
              </w:rPr>
              <w:t xml:space="preserve">1.0</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Effective Date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iCs/>
                <w:color w:val="999999"/>
                <w:sz w:val="20"/>
                <w:szCs w:val="20"/>
              </w:rPr>
              <w:t xml:space="preserve">[Date]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Approved By</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iCs/>
                <w:color w:val="999999"/>
                <w:sz w:val="20"/>
                <w:szCs w:val="20"/>
              </w:rPr>
              <w:t xml:space="preserve">[Family Council / Board / Owner(s)]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Next Review Date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iCs/>
                <w:color w:val="999999"/>
                <w:sz w:val="20"/>
                <w:szCs w:val="20"/>
              </w:rPr>
              <w:t xml:space="preserve">[Date — recommend annual]</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84C" w:sz="6"/>
              <w:left w:val="single" w:color="C9A84C" w:sz="18"/>
              <w:bottom w:val="single" w:color="C9A84C" w:sz="6"/>
              <w:right w:val="none" w:color="FFFFFF" w:sz="0"/>
            </w:tcBorders>
            <w:shd w:fill="FFFBF0" w:val="clear"/>
            <w:tcMar>
              <w:top w:type="dxa" w:w="140"/>
              <w:left w:type="dxa" w:w="220"/>
              <w:bottom w:type="dxa" w:w="140"/>
              <w:right w:type="dxa" w:w="220"/>
            </w:tcMar>
          </w:tcPr>
          <w:p>
            <w:pPr>
              <w:spacing w:before="0" w:after="50"/>
            </w:pPr>
            <w:r>
              <w:rPr>
                <w:rFonts w:ascii="Georgia" w:cs="Georgia" w:eastAsia="Georgia" w:hAnsi="Georgia"/>
                <w:b/>
                <w:bCs/>
                <w:color w:val="8B6914"/>
                <w:sz w:val="21"/>
                <w:szCs w:val="21"/>
              </w:rPr>
              <w:t xml:space="preserve">The Core Principle</w:t>
            </w:r>
          </w:p>
          <w:p>
            <w:pPr>
              <w:spacing w:before="0" w:after="0"/>
            </w:pPr>
            <w:r>
              <w:rPr>
                <w:rFonts w:ascii="Calibri" w:cs="Calibri" w:eastAsia="Calibri" w:hAnsi="Calibri"/>
                <w:color w:val="5C4A00"/>
                <w:sz w:val="20"/>
                <w:szCs w:val="20"/>
              </w:rPr>
              <w:t xml:space="preserve">Every family member working in this business is paid at market rate for the role they perform — not more because they are family, and not less. Compensation decisions are transparent, documented, and made through an agreed process that cannot be overridden by individual family members acting alone.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84C" w:sz="4"/>
              <w:left w:val="single" w:color="C9A84C" w:sz="4"/>
              <w:bottom w:val="single" w:color="C9A84C" w:sz="4"/>
              <w:right w:val="single" w:color="C9A84C" w:sz="4"/>
            </w:tcBorders>
            <w:shd w:fill="FFFBF0" w:val="clear"/>
            <w:tcMar>
              <w:top w:type="dxa" w:w="120"/>
              <w:left w:type="dxa" w:w="200"/>
              <w:bottom w:type="dxa" w:w="120"/>
              <w:right w:type="dxa" w:w="200"/>
            </w:tcMar>
          </w:tcPr>
          <w:p>
            <w:pPr>
              <w:spacing w:before="0" w:after="0"/>
            </w:pPr>
            <w:r>
              <w:rPr>
                <w:rFonts w:ascii="Calibri" w:cs="Calibri" w:eastAsia="Calibri" w:hAnsi="Calibri"/>
                <w:b/>
                <w:bCs/>
                <w:color w:val="8B6914"/>
                <w:sz w:val="19"/>
                <w:szCs w:val="19"/>
              </w:rPr>
              <w:t xml:space="preserve">⚠️ Legal Disclaimer: </w:t>
            </w:r>
            <w:r>
              <w:rPr>
                <w:rFonts w:ascii="Calibri" w:cs="Calibri" w:eastAsia="Calibri" w:hAnsi="Calibri"/>
                <w:color w:val="5C4A00"/>
                <w:sz w:val="19"/>
                <w:szCs w:val="19"/>
              </w:rPr>
              <w:t xml:space="preserve">This document is an AI-assisted template provided by The Family Business Playbook for organizational purposes only. It does not constitute legal advice. All documents should be reviewed by a qualified attorney before being signed or relied upon.</w:t>
            </w:r>
          </w:p>
        </w:tc>
      </w:tr>
    </w:tbl>
    <w:p>
      <w:pPr>
        <w:spacing w:before="100" w:after="0"/>
      </w:pPr>
      <w:r>
        <w:t xml:space="preserve"/>
      </w:r>
    </w:p>
    <w:p>
      <w:r>
        <w:br w:type="page"/>
      </w:r>
    </w:p>
    <w:p>
      <w:pPr>
        <w:pStyle w:val="Heading1"/>
        <w:spacing w:before="400" w:after="140"/>
      </w:pPr>
      <w:r>
        <w:rPr>
          <w:rFonts w:ascii="Georgia" w:cs="Georgia" w:eastAsia="Georgia" w:hAnsi="Georgia"/>
          <w:b/>
          <w:bCs/>
          <w:color w:val="1B2A4A"/>
          <w:sz w:val="30"/>
          <w:szCs w:val="30"/>
        </w:rPr>
        <w:t xml:space="preserve">1. Purpose and Scope</w:t>
      </w:r>
    </w:p>
    <w:p>
      <w:pPr>
        <w:spacing w:before="40" w:after="80"/>
      </w:pPr>
      <w:r>
        <w:rPr>
          <w:rFonts w:ascii="Calibri" w:cs="Calibri" w:eastAsia="Calibri" w:hAnsi="Calibri"/>
          <w:color w:val="444444"/>
          <w:sz w:val="21"/>
          <w:szCs w:val="21"/>
        </w:rPr>
        <w:t xml:space="preserve">This Compensation Policy ("Policy") governs how [Business Name] determines, sets, communicates, and reviews the compensation of all family members employed in the business. It applies to all family employees regardless of ownership status or family seniority.</w:t>
      </w:r>
    </w:p>
    <w:p>
      <w:pPr>
        <w:spacing w:before="40" w:after="80"/>
      </w:pPr>
      <w:r>
        <w:rPr>
          <w:rFonts w:ascii="Calibri" w:cs="Calibri" w:eastAsia="Calibri" w:hAnsi="Calibri"/>
          <w:color w:val="444444"/>
          <w:sz w:val="21"/>
          <w:szCs w:val="21"/>
        </w:rPr>
        <w:t xml:space="preserve">This Policy covers: base salary and wages; bonuses and variable pay; profit-sharing distributions (if applicable); benefits and perquisites; and non-cash compensation including equity and vehicles.</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2. The Market Rate Principle</w:t>
      </w:r>
    </w:p>
    <w:p>
      <w:pPr>
        <w:pStyle w:val="Heading2"/>
        <w:pBdr>
          <w:bottom w:val="single" w:color="C9A84C" w:sz="3" w:space="4"/>
        </w:pBdr>
        <w:spacing w:before="280" w:after="100"/>
      </w:pPr>
      <w:r>
        <w:rPr>
          <w:rFonts w:ascii="Georgia" w:cs="Georgia" w:eastAsia="Georgia" w:hAnsi="Georgia"/>
          <w:b/>
          <w:bCs/>
          <w:color w:val="1B2A4A"/>
          <w:sz w:val="24"/>
          <w:szCs w:val="24"/>
        </w:rPr>
        <w:t xml:space="preserve">2.1 What Market Rate Means</w:t>
      </w:r>
    </w:p>
    <w:p>
      <w:pPr>
        <w:spacing w:before="40" w:after="80"/>
      </w:pPr>
      <w:r>
        <w:rPr>
          <w:rFonts w:ascii="Calibri" w:cs="Calibri" w:eastAsia="Calibri" w:hAnsi="Calibri"/>
          <w:color w:val="444444"/>
          <w:sz w:val="21"/>
          <w:szCs w:val="21"/>
        </w:rPr>
        <w:t xml:space="preserve">"Market rate" means the compensation that a qualified, non-family employee would receive for performing the same role at a comparable business in the same industry and geographic area. Market rate is determined by reference to:</w:t>
      </w:r>
    </w:p>
    <w:p>
      <w:pPr>
        <w:pStyle w:val="ListParagraph"/>
        <w:numPr>
          <w:ilvl w:val="0"/>
          <w:numId w:val="2"/>
        </w:numPr>
        <w:spacing w:before="30" w:after="30"/>
      </w:pPr>
      <w:r>
        <w:rPr>
          <w:rFonts w:ascii="Calibri" w:cs="Calibri" w:eastAsia="Calibri" w:hAnsi="Calibri"/>
          <w:color w:val="444444"/>
          <w:sz w:val="21"/>
          <w:szCs w:val="21"/>
        </w:rPr>
        <w:t xml:space="preserve">Industry salary surveys and benchmarking data (e.g., SHRM, industry associations, Robert Half, Glassdoor)</w:t>
      </w:r>
    </w:p>
    <w:p>
      <w:pPr>
        <w:pStyle w:val="ListParagraph"/>
        <w:numPr>
          <w:ilvl w:val="0"/>
          <w:numId w:val="2"/>
        </w:numPr>
        <w:spacing w:before="30" w:after="30"/>
      </w:pPr>
      <w:r>
        <w:rPr>
          <w:rFonts w:ascii="Calibri" w:cs="Calibri" w:eastAsia="Calibri" w:hAnsi="Calibri"/>
          <w:color w:val="444444"/>
          <w:sz w:val="21"/>
          <w:szCs w:val="21"/>
        </w:rPr>
        <w:t xml:space="preserve">Comparable job postings in the same region for similar roles</w:t>
      </w:r>
    </w:p>
    <w:p>
      <w:pPr>
        <w:pStyle w:val="ListParagraph"/>
        <w:numPr>
          <w:ilvl w:val="0"/>
          <w:numId w:val="2"/>
        </w:numPr>
        <w:spacing w:before="30" w:after="30"/>
      </w:pPr>
      <w:r>
        <w:rPr>
          <w:rFonts w:ascii="Calibri" w:cs="Calibri" w:eastAsia="Calibri" w:hAnsi="Calibri"/>
          <w:color w:val="444444"/>
          <w:sz w:val="21"/>
          <w:szCs w:val="21"/>
        </w:rPr>
        <w:t xml:space="preserve">Input from the business's accountant or HR advisor, where available</w:t>
      </w:r>
    </w:p>
    <w:p>
      <w:pPr>
        <w:pStyle w:val="ListParagraph"/>
        <w:numPr>
          <w:ilvl w:val="0"/>
          <w:numId w:val="2"/>
        </w:numPr>
        <w:spacing w:before="30" w:after="30"/>
      </w:pPr>
      <w:r>
        <w:rPr>
          <w:rFonts w:ascii="Calibri" w:cs="Calibri" w:eastAsia="Calibri" w:hAnsi="Calibri"/>
          <w:color w:val="444444"/>
          <w:sz w:val="21"/>
          <w:szCs w:val="21"/>
        </w:rPr>
        <w:t xml:space="preserve">The responsibilities and performance of the individual in the role</w:t>
      </w:r>
    </w:p>
    <w:p>
      <w:pPr>
        <w:pStyle w:val="Heading2"/>
        <w:pBdr>
          <w:bottom w:val="single" w:color="C9A84C" w:sz="3" w:space="4"/>
        </w:pBdr>
        <w:spacing w:before="280" w:after="100"/>
      </w:pPr>
      <w:r>
        <w:rPr>
          <w:rFonts w:ascii="Georgia" w:cs="Georgia" w:eastAsia="Georgia" w:hAnsi="Georgia"/>
          <w:b/>
          <w:bCs/>
          <w:color w:val="1B2A4A"/>
          <w:sz w:val="24"/>
          <w:szCs w:val="24"/>
        </w:rPr>
        <w:t xml:space="preserve">2.2 No Premium for Being Family</w:t>
      </w:r>
    </w:p>
    <w:p>
      <w:pPr>
        <w:spacing w:before="40" w:after="80"/>
      </w:pPr>
      <w:r>
        <w:rPr>
          <w:rFonts w:ascii="Calibri" w:cs="Calibri" w:eastAsia="Calibri" w:hAnsi="Calibri"/>
          <w:color w:val="444444"/>
          <w:sz w:val="21"/>
          <w:szCs w:val="21"/>
        </w:rPr>
        <w:t xml:space="preserve">Family members shall not receive compensation above market rate solely because of their family relationship to the owner(s). Paying above market erodes profitability, sets unsustainable precedents, and is unfair to non-family employees doing comparable work.</w:t>
      </w:r>
    </w:p>
    <w:p>
      <w:pPr>
        <w:pStyle w:val="Heading2"/>
        <w:pBdr>
          <w:bottom w:val="single" w:color="C9A84C" w:sz="3" w:space="4"/>
        </w:pBdr>
        <w:spacing w:before="280" w:after="100"/>
      </w:pPr>
      <w:r>
        <w:rPr>
          <w:rFonts w:ascii="Georgia" w:cs="Georgia" w:eastAsia="Georgia" w:hAnsi="Georgia"/>
          <w:b/>
          <w:bCs/>
          <w:color w:val="1B2A4A"/>
          <w:sz w:val="24"/>
          <w:szCs w:val="24"/>
        </w:rPr>
        <w:t xml:space="preserve">2.3 No Discount for Being Family</w:t>
      </w:r>
    </w:p>
    <w:p>
      <w:pPr>
        <w:spacing w:before="40" w:after="80"/>
      </w:pPr>
      <w:r>
        <w:rPr>
          <w:rFonts w:ascii="Calibri" w:cs="Calibri" w:eastAsia="Calibri" w:hAnsi="Calibri"/>
          <w:color w:val="444444"/>
          <w:sz w:val="21"/>
          <w:szCs w:val="21"/>
        </w:rPr>
        <w:t xml:space="preserve">Family members shall not be paid below market rate. Underpaying family members is a form of exploitation of the family relationship and creates resentment. It also distorts the true cost of running the business and makes financial planning inaccurate.</w:t>
      </w:r>
    </w:p>
    <w:p>
      <w:pPr>
        <w:pStyle w:val="Heading2"/>
        <w:pBdr>
          <w:bottom w:val="single" w:color="C9A84C" w:sz="3" w:space="4"/>
        </w:pBdr>
        <w:spacing w:before="280" w:after="100"/>
      </w:pPr>
      <w:r>
        <w:rPr>
          <w:rFonts w:ascii="Georgia" w:cs="Georgia" w:eastAsia="Georgia" w:hAnsi="Georgia"/>
          <w:b/>
          <w:bCs/>
          <w:color w:val="1B2A4A"/>
          <w:sz w:val="24"/>
          <w:szCs w:val="24"/>
        </w:rPr>
        <w:t xml:space="preserve">2.4 Exceptions</w:t>
      </w:r>
    </w:p>
    <w:p>
      <w:pPr>
        <w:spacing w:before="40" w:after="80"/>
      </w:pPr>
      <w:r>
        <w:rPr>
          <w:rFonts w:ascii="Calibri" w:cs="Calibri" w:eastAsia="Calibri" w:hAnsi="Calibri"/>
          <w:color w:val="444444"/>
          <w:sz w:val="21"/>
          <w:szCs w:val="21"/>
        </w:rPr>
        <w:t xml:space="preserve">Below-market compensation may be temporarily agreed in writing in specific circumstances — for example, during a start-up phase, during a period of financial hardship affecting all employees, or at the explicit, documented request of the family member. Any below-market arrangement must be time-limited, reviewed quarterly, and approved by the Compensation Committee.</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3. Compensation Structure</w:t>
      </w:r>
    </w:p>
    <w:p>
      <w:pPr>
        <w:pStyle w:val="Heading2"/>
        <w:pBdr>
          <w:bottom w:val="single" w:color="C9A84C" w:sz="3" w:space="4"/>
        </w:pBdr>
        <w:spacing w:before="280" w:after="100"/>
      </w:pPr>
      <w:r>
        <w:rPr>
          <w:rFonts w:ascii="Georgia" w:cs="Georgia" w:eastAsia="Georgia" w:hAnsi="Georgia"/>
          <w:b/>
          <w:bCs/>
          <w:color w:val="1B2A4A"/>
          <w:sz w:val="24"/>
          <w:szCs w:val="24"/>
        </w:rPr>
        <w:t xml:space="preserve">3.1 Base Salary</w:t>
      </w:r>
    </w:p>
    <w:p>
      <w:pPr>
        <w:spacing w:before="40" w:after="80"/>
      </w:pPr>
      <w:r>
        <w:rPr>
          <w:rFonts w:ascii="Calibri" w:cs="Calibri" w:eastAsia="Calibri" w:hAnsi="Calibri"/>
          <w:color w:val="444444"/>
          <w:sz w:val="21"/>
          <w:szCs w:val="21"/>
        </w:rPr>
        <w:t xml:space="preserve">Each family employee's base salary is set based on their role, responsibilities, experience, and market benchmarking. Base salaries are documented in the employee's employment agreement and in the compensation register maintained by the business.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Role</w:t>
            </w:r>
          </w:p>
        </w:tc>
        <w:tc>
          <w:tcPr>
            <w:tcW w:type="dxa" w:w="348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Market Range (Annual)</w:t>
            </w:r>
          </w:p>
        </w:tc>
        <w:tc>
          <w:tcPr>
            <w:tcW w:type="dxa" w:w="348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Notes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[Role 1 — e.g., CEO/Managing Director]</w:t>
            </w:r>
          </w:p>
        </w:tc>
        <w:tc>
          <w:tcPr>
            <w:tcW w:type="dxa" w:w="34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 – $[  ]</w:t>
            </w:r>
          </w:p>
        </w:tc>
        <w:tc>
          <w:tcPr>
            <w:tcW w:type="dxa" w:w="34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[Source / benchmark used]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[Role 2]</w:t>
            </w:r>
          </w:p>
        </w:tc>
        <w:tc>
          <w:tcPr>
            <w:tcW w:type="dxa" w:w="34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 – $[  ]</w:t>
            </w:r>
          </w:p>
        </w:tc>
        <w:tc>
          <w:tcPr>
            <w:tcW w:type="dxa" w:w="34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[Source / benchmark used]</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[Role 3]</w:t>
            </w:r>
          </w:p>
        </w:tc>
        <w:tc>
          <w:tcPr>
            <w:tcW w:type="dxa" w:w="34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 – $[  ]</w:t>
            </w:r>
          </w:p>
        </w:tc>
        <w:tc>
          <w:tcPr>
            <w:tcW w:type="dxa" w:w="34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[Source / benchmark used]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[Role 4]</w:t>
            </w:r>
          </w:p>
        </w:tc>
        <w:tc>
          <w:tcPr>
            <w:tcW w:type="dxa" w:w="34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  ] – $[  ]</w:t>
            </w:r>
          </w:p>
        </w:tc>
        <w:tc>
          <w:tcPr>
            <w:tcW w:type="dxa" w:w="34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[Source / benchmark used]</w:t>
            </w:r>
          </w:p>
        </w:tc>
      </w:tr>
    </w:tbl>
    <w:p>
      <w:pPr>
        <w:spacing w:before="60" w:after="0"/>
      </w:pPr>
      <w:r>
        <w:t xml:space="preserve"/>
      </w:r>
    </w:p>
    <w:p>
      <w:pPr>
        <w:spacing w:before="40" w:after="80"/>
      </w:pPr>
      <w:r>
        <w:rPr>
          <w:rFonts w:ascii="Calibri" w:cs="Calibri" w:eastAsia="Calibri" w:hAnsi="Calibri"/>
          <w:color w:val="444444"/>
          <w:sz w:val="21"/>
          <w:szCs w:val="21"/>
        </w:rPr>
        <w:t xml:space="preserve">This table is reviewed and updated annually. Current positioning within the range is determined by tenure, performance, and scope of responsibilities.</w:t>
      </w:r>
    </w:p>
    <w:p>
      <w:pPr>
        <w:spacing w:before="100" w:after="0"/>
      </w:pPr>
      <w:r>
        <w:t xml:space="preserve"/>
      </w:r>
    </w:p>
    <w:p>
      <w:pPr>
        <w:pStyle w:val="Heading2"/>
        <w:pBdr>
          <w:bottom w:val="single" w:color="C9A84C" w:sz="3" w:space="4"/>
        </w:pBdr>
        <w:spacing w:before="280" w:after="100"/>
      </w:pPr>
      <w:r>
        <w:rPr>
          <w:rFonts w:ascii="Georgia" w:cs="Georgia" w:eastAsia="Georgia" w:hAnsi="Georgia"/>
          <w:b/>
          <w:bCs/>
          <w:color w:val="1B2A4A"/>
          <w:sz w:val="24"/>
          <w:szCs w:val="24"/>
        </w:rPr>
        <w:t xml:space="preserve">3.2 Bonus and Variable Pay</w:t>
      </w:r>
    </w:p>
    <w:p>
      <w:pPr>
        <w:spacing w:before="40" w:after="80"/>
      </w:pPr>
      <w:r>
        <w:rPr>
          <w:rFonts w:ascii="Calibri" w:cs="Calibri" w:eastAsia="Calibri" w:hAnsi="Calibri"/>
          <w:color w:val="444444"/>
          <w:sz w:val="21"/>
          <w:szCs w:val="21"/>
        </w:rPr>
        <w:t xml:space="preserve">Bonuses for family members are governed by the same criteria as non-family employees in comparable roles. Bonuses are:</w:t>
      </w:r>
    </w:p>
    <w:p>
      <w:pPr>
        <w:pStyle w:val="ListParagraph"/>
        <w:numPr>
          <w:ilvl w:val="0"/>
          <w:numId w:val="2"/>
        </w:numPr>
        <w:spacing w:before="30" w:after="30"/>
      </w:pPr>
      <w:r>
        <w:rPr>
          <w:rFonts w:ascii="Calibri" w:cs="Calibri" w:eastAsia="Calibri" w:hAnsi="Calibri"/>
          <w:color w:val="444444"/>
          <w:sz w:val="21"/>
          <w:szCs w:val="21"/>
        </w:rPr>
        <w:t xml:space="preserve">Not guaranteed — they are earned through performance against agreed targets</w:t>
      </w:r>
    </w:p>
    <w:p>
      <w:pPr>
        <w:pStyle w:val="ListParagraph"/>
        <w:numPr>
          <w:ilvl w:val="0"/>
          <w:numId w:val="2"/>
        </w:numPr>
        <w:spacing w:before="30" w:after="30"/>
      </w:pPr>
      <w:r>
        <w:rPr>
          <w:rFonts w:ascii="Calibri" w:cs="Calibri" w:eastAsia="Calibri" w:hAnsi="Calibri"/>
          <w:color w:val="444444"/>
          <w:sz w:val="21"/>
          <w:szCs w:val="21"/>
        </w:rPr>
        <w:t xml:space="preserve">Calculated using documented criteria approved in advance by the Compensation Committee</w:t>
      </w:r>
    </w:p>
    <w:p>
      <w:pPr>
        <w:pStyle w:val="ListParagraph"/>
        <w:numPr>
          <w:ilvl w:val="0"/>
          <w:numId w:val="2"/>
        </w:numPr>
        <w:spacing w:before="30" w:after="30"/>
      </w:pPr>
      <w:r>
        <w:rPr>
          <w:rFonts w:ascii="Calibri" w:cs="Calibri" w:eastAsia="Calibri" w:hAnsi="Calibri"/>
          <w:color w:val="444444"/>
          <w:sz w:val="21"/>
          <w:szCs w:val="21"/>
        </w:rPr>
        <w:t xml:space="preserve">Paid at the same time and on the same terms as bonuses for non-family employees at a comparable level</w:t>
      </w:r>
    </w:p>
    <w:p>
      <w:pPr>
        <w:pStyle w:val="ListParagraph"/>
        <w:numPr>
          <w:ilvl w:val="0"/>
          <w:numId w:val="2"/>
        </w:numPr>
        <w:spacing w:before="30" w:after="30"/>
      </w:pPr>
      <w:r>
        <w:rPr>
          <w:rFonts w:ascii="Calibri" w:cs="Calibri" w:eastAsia="Calibri" w:hAnsi="Calibri"/>
          <w:color w:val="444444"/>
          <w:sz w:val="21"/>
          <w:szCs w:val="21"/>
        </w:rPr>
        <w:t xml:space="preserve">Not awarded informally or outside the documented bonus process</w:t>
      </w:r>
    </w:p>
    <w:p>
      <w:pPr>
        <w:spacing w:before="60" w:after="0"/>
      </w:pPr>
      <w:r>
        <w:t xml:space="preserve"/>
      </w:r>
    </w:p>
    <w:p>
      <w:pPr>
        <w:spacing w:before="40" w:after="80"/>
      </w:pPr>
      <w:r>
        <w:rPr>
          <w:rFonts w:ascii="Calibri" w:cs="Calibri" w:eastAsia="Calibri" w:hAnsi="Calibri"/>
          <w:i/>
          <w:iCs/>
          <w:color w:val="999999"/>
          <w:sz w:val="21"/>
          <w:szCs w:val="21"/>
        </w:rPr>
        <w:t xml:space="preserve">[Describe the bonus structure applicable to this business — e.g., 'A performance bonus of up to 15% of base salary is available to family employees at management level or above, subject to achieving KPIs agreed at the start of each financial year.']</w:t>
      </w:r>
    </w:p>
    <w:p>
      <w:pPr>
        <w:spacing w:before="100" w:after="0"/>
      </w:pPr>
      <w:r>
        <w:t xml:space="preserve"/>
      </w:r>
    </w:p>
    <w:p>
      <w:pPr>
        <w:pStyle w:val="Heading2"/>
        <w:pBdr>
          <w:bottom w:val="single" w:color="C9A84C" w:sz="3" w:space="4"/>
        </w:pBdr>
        <w:spacing w:before="280" w:after="100"/>
      </w:pPr>
      <w:r>
        <w:rPr>
          <w:rFonts w:ascii="Georgia" w:cs="Georgia" w:eastAsia="Georgia" w:hAnsi="Georgia"/>
          <w:b/>
          <w:bCs/>
          <w:color w:val="1B2A4A"/>
          <w:sz w:val="24"/>
          <w:szCs w:val="24"/>
        </w:rPr>
        <w:t xml:space="preserve">3.3 Profit Sharing and Distributions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2A4A" w:sz="6"/>
              <w:left w:val="single" w:color="1B2A4A" w:sz="18"/>
              <w:bottom w:val="single" w:color="1B2A4A" w:sz="6"/>
              <w:right w:val="none" w:color="FFFFFF" w:sz="0"/>
            </w:tcBorders>
            <w:shd w:fill="EEF2F8" w:val="clear"/>
            <w:tcMar>
              <w:top w:type="dxa" w:w="140"/>
              <w:left w:type="dxa" w:w="220"/>
              <w:bottom w:type="dxa" w:w="140"/>
              <w:right w:type="dxa" w:w="220"/>
            </w:tcMar>
          </w:tcPr>
          <w:p>
            <w:pPr>
              <w:spacing w:before="0" w:after="50"/>
            </w:pPr>
            <w:r>
              <w:rPr>
                <w:rFonts w:ascii="Georgia" w:cs="Georgia" w:eastAsia="Georgia" w:hAnsi="Georgia"/>
                <w:b/>
                <w:bCs/>
                <w:color w:val="1B2A4A"/>
                <w:sz w:val="21"/>
                <w:szCs w:val="21"/>
              </w:rPr>
              <w:t xml:space="preserve">Employment vs. Ownership</w:t>
            </w:r>
          </w:p>
          <w:p>
            <w:pPr>
              <w:spacing w:before="0" w:after="0"/>
            </w:pPr>
            <w:r>
              <w:rPr>
                <w:rFonts w:ascii="Calibri" w:cs="Calibri" w:eastAsia="Calibri" w:hAnsi="Calibri"/>
                <w:color w:val="1B2A4A"/>
                <w:sz w:val="20"/>
                <w:szCs w:val="20"/>
              </w:rPr>
              <w:t xml:space="preserve">Distributions and dividends paid to family members in their capacity as owners or shareholders are separate from employment compensation and are governed by the shareholders' agreement and the Family Business Constitution. A family member who is both an employee and an owner must keep these two income streams clearly separate and documented.</w:t>
            </w:r>
          </w:p>
        </w:tc>
      </w:tr>
    </w:tbl>
    <w:p>
      <w:pPr>
        <w:spacing w:before="60" w:after="0"/>
      </w:pPr>
      <w:r>
        <w:t xml:space="preserve"/>
      </w:r>
    </w:p>
    <w:p>
      <w:pPr>
        <w:spacing w:before="40" w:after="80"/>
      </w:pPr>
      <w:r>
        <w:rPr>
          <w:rFonts w:ascii="Calibri" w:cs="Calibri" w:eastAsia="Calibri" w:hAnsi="Calibri"/>
          <w:i/>
          <w:iCs/>
          <w:color w:val="999999"/>
          <w:sz w:val="21"/>
          <w:szCs w:val="21"/>
        </w:rPr>
        <w:t xml:space="preserve">[If the business has a profit-sharing arrangement for employees (not just owners), describe it here — eligibility, calculation method, payment timing, and approval process.]</w:t>
      </w:r>
    </w:p>
    <w:p>
      <w:pPr>
        <w:spacing w:before="100" w:after="0"/>
      </w:pPr>
      <w:r>
        <w:t xml:space="preserve"/>
      </w:r>
    </w:p>
    <w:p>
      <w:pPr>
        <w:pStyle w:val="Heading2"/>
        <w:pBdr>
          <w:bottom w:val="single" w:color="C9A84C" w:sz="3" w:space="4"/>
        </w:pBdr>
        <w:spacing w:before="280" w:after="100"/>
      </w:pPr>
      <w:r>
        <w:rPr>
          <w:rFonts w:ascii="Georgia" w:cs="Georgia" w:eastAsia="Georgia" w:hAnsi="Georgia"/>
          <w:b/>
          <w:bCs/>
          <w:color w:val="1B2A4A"/>
          <w:sz w:val="24"/>
          <w:szCs w:val="24"/>
        </w:rPr>
        <w:t xml:space="preserve">3.4 Benefits</w:t>
      </w:r>
    </w:p>
    <w:p>
      <w:pPr>
        <w:spacing w:before="40" w:after="80"/>
      </w:pPr>
      <w:r>
        <w:rPr>
          <w:rFonts w:ascii="Calibri" w:cs="Calibri" w:eastAsia="Calibri" w:hAnsi="Calibri"/>
          <w:color w:val="444444"/>
          <w:sz w:val="21"/>
          <w:szCs w:val="21"/>
        </w:rPr>
        <w:t xml:space="preserve">Family members receive the same benefits as non-family employees at the same level. Benefits available to family employees include:</w:t>
      </w:r>
    </w:p>
    <w:p>
      <w:pPr>
        <w:pStyle w:val="ListParagraph"/>
        <w:numPr>
          <w:ilvl w:val="0"/>
          <w:numId w:val="2"/>
        </w:numPr>
        <w:spacing w:before="30" w:after="30"/>
      </w:pPr>
      <w:r>
        <w:rPr>
          <w:rFonts w:ascii="Calibri" w:cs="Calibri" w:eastAsia="Calibri" w:hAnsi="Calibri"/>
          <w:i/>
          <w:iCs/>
          <w:color w:val="999999"/>
          <w:sz w:val="21"/>
          <w:szCs w:val="21"/>
        </w:rPr>
        <w:t xml:space="preserve">[Health insurance — describe coverage level and who pays the premium]</w:t>
      </w:r>
    </w:p>
    <w:p>
      <w:pPr>
        <w:pStyle w:val="ListParagraph"/>
        <w:numPr>
          <w:ilvl w:val="0"/>
          <w:numId w:val="2"/>
        </w:numPr>
        <w:spacing w:before="30" w:after="30"/>
      </w:pPr>
      <w:r>
        <w:rPr>
          <w:rFonts w:ascii="Calibri" w:cs="Calibri" w:eastAsia="Calibri" w:hAnsi="Calibri"/>
          <w:i/>
          <w:iCs/>
          <w:color w:val="999999"/>
          <w:sz w:val="21"/>
          <w:szCs w:val="21"/>
        </w:rPr>
        <w:t xml:space="preserve">[Retirement/pension contributions — describe the employer contribution rate]</w:t>
      </w:r>
    </w:p>
    <w:p>
      <w:pPr>
        <w:pStyle w:val="ListParagraph"/>
        <w:numPr>
          <w:ilvl w:val="0"/>
          <w:numId w:val="2"/>
        </w:numPr>
        <w:spacing w:before="30" w:after="30"/>
      </w:pPr>
      <w:r>
        <w:rPr>
          <w:rFonts w:ascii="Calibri" w:cs="Calibri" w:eastAsia="Calibri" w:hAnsi="Calibri"/>
          <w:i/>
          <w:iCs/>
          <w:color w:val="999999"/>
          <w:sz w:val="21"/>
          <w:szCs w:val="21"/>
        </w:rPr>
        <w:t xml:space="preserve">[Vehicle — describe any vehicle allowance or company car policy]</w:t>
      </w:r>
    </w:p>
    <w:p>
      <w:pPr>
        <w:pStyle w:val="ListParagraph"/>
        <w:numPr>
          <w:ilvl w:val="0"/>
          <w:numId w:val="2"/>
        </w:numPr>
        <w:spacing w:before="30" w:after="30"/>
      </w:pPr>
      <w:r>
        <w:rPr>
          <w:rFonts w:ascii="Calibri" w:cs="Calibri" w:eastAsia="Calibri" w:hAnsi="Calibri"/>
          <w:i/>
          <w:iCs/>
          <w:color w:val="999999"/>
          <w:sz w:val="21"/>
          <w:szCs w:val="21"/>
        </w:rPr>
        <w:t xml:space="preserve">[Mobile phone / technology allowance — describe]</w:t>
      </w:r>
    </w:p>
    <w:p>
      <w:pPr>
        <w:pStyle w:val="ListParagraph"/>
        <w:numPr>
          <w:ilvl w:val="0"/>
          <w:numId w:val="2"/>
        </w:numPr>
        <w:spacing w:before="30" w:after="30"/>
      </w:pPr>
      <w:r>
        <w:rPr>
          <w:rFonts w:ascii="Calibri" w:cs="Calibri" w:eastAsia="Calibri" w:hAnsi="Calibri"/>
          <w:i/>
          <w:iCs/>
          <w:color w:val="999999"/>
          <w:sz w:val="21"/>
          <w:szCs w:val="21"/>
        </w:rPr>
        <w:t xml:space="preserve">[Professional development budget — amount per year]</w:t>
      </w:r>
    </w:p>
    <w:p>
      <w:pPr>
        <w:pStyle w:val="ListParagraph"/>
        <w:numPr>
          <w:ilvl w:val="0"/>
          <w:numId w:val="2"/>
        </w:numPr>
        <w:spacing w:before="30" w:after="30"/>
      </w:pPr>
      <w:r>
        <w:rPr>
          <w:rFonts w:ascii="Calibri" w:cs="Calibri" w:eastAsia="Calibri" w:hAnsi="Calibri"/>
          <w:i/>
          <w:iCs/>
          <w:color w:val="999999"/>
          <w:sz w:val="21"/>
          <w:szCs w:val="21"/>
        </w:rPr>
        <w:t xml:space="preserve">[Other — describe any other benefits]</w:t>
      </w:r>
    </w:p>
    <w:p>
      <w:pPr>
        <w:spacing w:before="60" w:after="0"/>
      </w:pPr>
      <w:r>
        <w:t xml:space="preserve"/>
      </w:r>
    </w:p>
    <w:p>
      <w:pPr>
        <w:spacing w:before="40" w:after="80"/>
      </w:pPr>
      <w:r>
        <w:rPr>
          <w:rFonts w:ascii="Calibri" w:cs="Calibri" w:eastAsia="Calibri" w:hAnsi="Calibri"/>
          <w:color w:val="444444"/>
          <w:sz w:val="21"/>
          <w:szCs w:val="21"/>
        </w:rPr>
        <w:t xml:space="preserve">Family members may not receive benefits not available to non-family employees at the same level without written approval from the Compensation Committee and documentation in the employment record.</w:t>
      </w:r>
    </w:p>
    <w:p>
      <w:pPr>
        <w:spacing w:before="100" w:after="0"/>
      </w:pPr>
      <w:r>
        <w:t xml:space="preserve"/>
      </w:r>
    </w:p>
    <w:p>
      <w:r>
        <w:br w:type="page"/>
      </w:r>
    </w:p>
    <w:p>
      <w:pPr>
        <w:pStyle w:val="Heading1"/>
        <w:spacing w:before="400" w:after="140"/>
      </w:pPr>
      <w:r>
        <w:rPr>
          <w:rFonts w:ascii="Georgia" w:cs="Georgia" w:eastAsia="Georgia" w:hAnsi="Georgia"/>
          <w:b/>
          <w:bCs/>
          <w:color w:val="1B2A4A"/>
          <w:sz w:val="30"/>
          <w:szCs w:val="30"/>
        </w:rPr>
        <w:t xml:space="preserve">4. The Compensation Committee</w:t>
      </w:r>
    </w:p>
    <w:p>
      <w:pPr>
        <w:pStyle w:val="Heading2"/>
        <w:pBdr>
          <w:bottom w:val="single" w:color="C9A84C" w:sz="3" w:space="4"/>
        </w:pBdr>
        <w:spacing w:before="280" w:after="100"/>
      </w:pPr>
      <w:r>
        <w:rPr>
          <w:rFonts w:ascii="Georgia" w:cs="Georgia" w:eastAsia="Georgia" w:hAnsi="Georgia"/>
          <w:b/>
          <w:bCs/>
          <w:color w:val="1B2A4A"/>
          <w:sz w:val="24"/>
          <w:szCs w:val="24"/>
        </w:rPr>
        <w:t xml:space="preserve">4.1 Purpose</w:t>
      </w:r>
    </w:p>
    <w:p>
      <w:pPr>
        <w:spacing w:before="40" w:after="80"/>
      </w:pPr>
      <w:r>
        <w:rPr>
          <w:rFonts w:ascii="Calibri" w:cs="Calibri" w:eastAsia="Calibri" w:hAnsi="Calibri"/>
          <w:color w:val="444444"/>
          <w:sz w:val="21"/>
          <w:szCs w:val="21"/>
        </w:rPr>
        <w:t xml:space="preserve">The Compensation Committee is responsible for ensuring that family member compensation decisions are made objectively, transparently, and consistently with this Policy. It removes compensation decisions from the informal family dynamic and places them in a structured governance process.</w:t>
      </w:r>
    </w:p>
    <w:p>
      <w:pPr>
        <w:pStyle w:val="Heading2"/>
        <w:pBdr>
          <w:bottom w:val="single" w:color="C9A84C" w:sz="3" w:space="4"/>
        </w:pBdr>
        <w:spacing w:before="280" w:after="100"/>
      </w:pPr>
      <w:r>
        <w:rPr>
          <w:rFonts w:ascii="Georgia" w:cs="Georgia" w:eastAsia="Georgia" w:hAnsi="Georgia"/>
          <w:b/>
          <w:bCs/>
          <w:color w:val="1B2A4A"/>
          <w:sz w:val="24"/>
          <w:szCs w:val="24"/>
        </w:rPr>
        <w:t xml:space="preserve">4.2 Composition</w:t>
      </w:r>
    </w:p>
    <w:p>
      <w:pPr>
        <w:spacing w:before="40" w:after="80"/>
      </w:pPr>
      <w:r>
        <w:rPr>
          <w:rFonts w:ascii="Calibri" w:cs="Calibri" w:eastAsia="Calibri" w:hAnsi="Calibri"/>
          <w:color w:val="444444"/>
          <w:sz w:val="21"/>
          <w:szCs w:val="21"/>
        </w:rPr>
        <w:t xml:space="preserve">The Compensation Committee consists of:</w:t>
      </w:r>
    </w:p>
    <w:p>
      <w:pPr>
        <w:pStyle w:val="ListParagraph"/>
        <w:numPr>
          <w:ilvl w:val="0"/>
          <w:numId w:val="2"/>
        </w:numPr>
        <w:spacing w:before="30" w:after="30"/>
      </w:pPr>
      <w:r>
        <w:rPr>
          <w:rFonts w:ascii="Calibri" w:cs="Calibri" w:eastAsia="Calibri" w:hAnsi="Calibri"/>
          <w:color w:val="444444"/>
          <w:sz w:val="21"/>
          <w:szCs w:val="21"/>
        </w:rPr>
        <w:t xml:space="preserve">[2-3 Family Council members, excluding the family member whose compensation is under review]</w:t>
      </w:r>
    </w:p>
    <w:p>
      <w:pPr>
        <w:pStyle w:val="ListParagraph"/>
        <w:numPr>
          <w:ilvl w:val="0"/>
          <w:numId w:val="2"/>
        </w:numPr>
        <w:spacing w:before="30" w:after="30"/>
      </w:pPr>
      <w:r>
        <w:rPr>
          <w:rFonts w:ascii="Calibri" w:cs="Calibri" w:eastAsia="Calibri" w:hAnsi="Calibri"/>
          <w:i/>
          <w:iCs/>
          <w:color w:val="999999"/>
          <w:sz w:val="21"/>
          <w:szCs w:val="21"/>
        </w:rPr>
        <w:t xml:space="preserve">[Optional: one independent external advisor — accountant, HR professional, or family business advisor — in an advisory (non-voting) capacity]</w:t>
      </w:r>
    </w:p>
    <w:p>
      <w:pPr>
        <w:pStyle w:val="Heading2"/>
        <w:pBdr>
          <w:bottom w:val="single" w:color="C9A84C" w:sz="3" w:space="4"/>
        </w:pBdr>
        <w:spacing w:before="280" w:after="100"/>
      </w:pPr>
      <w:r>
        <w:rPr>
          <w:rFonts w:ascii="Georgia" w:cs="Georgia" w:eastAsia="Georgia" w:hAnsi="Georgia"/>
          <w:b/>
          <w:bCs/>
          <w:color w:val="1B2A4A"/>
          <w:sz w:val="24"/>
          <w:szCs w:val="24"/>
        </w:rPr>
        <w:t xml:space="preserve">4.3 Responsibilities</w:t>
      </w:r>
    </w:p>
    <w:p>
      <w:pPr>
        <w:spacing w:before="40" w:after="80"/>
      </w:pPr>
      <w:r>
        <w:rPr>
          <w:rFonts w:ascii="Calibri" w:cs="Calibri" w:eastAsia="Calibri" w:hAnsi="Calibri"/>
          <w:color w:val="444444"/>
          <w:sz w:val="21"/>
          <w:szCs w:val="21"/>
        </w:rPr>
        <w:t xml:space="preserve">The Compensation Committee:</w:t>
      </w:r>
    </w:p>
    <w:p>
      <w:pPr>
        <w:pStyle w:val="ListParagraph"/>
        <w:numPr>
          <w:ilvl w:val="0"/>
          <w:numId w:val="2"/>
        </w:numPr>
        <w:spacing w:before="30" w:after="30"/>
      </w:pPr>
      <w:r>
        <w:rPr>
          <w:rFonts w:ascii="Calibri" w:cs="Calibri" w:eastAsia="Calibri" w:hAnsi="Calibri"/>
          <w:color w:val="444444"/>
          <w:sz w:val="21"/>
          <w:szCs w:val="21"/>
        </w:rPr>
        <w:t xml:space="preserve">Conducts annual salary benchmarking for all family employee roles</w:t>
      </w:r>
    </w:p>
    <w:p>
      <w:pPr>
        <w:pStyle w:val="ListParagraph"/>
        <w:numPr>
          <w:ilvl w:val="0"/>
          <w:numId w:val="2"/>
        </w:numPr>
        <w:spacing w:before="30" w:after="30"/>
      </w:pPr>
      <w:r>
        <w:rPr>
          <w:rFonts w:ascii="Calibri" w:cs="Calibri" w:eastAsia="Calibri" w:hAnsi="Calibri"/>
          <w:color w:val="444444"/>
          <w:sz w:val="21"/>
          <w:szCs w:val="21"/>
        </w:rPr>
        <w:t xml:space="preserve">Reviews and approves all changes to family member base salaries</w:t>
      </w:r>
    </w:p>
    <w:p>
      <w:pPr>
        <w:pStyle w:val="ListParagraph"/>
        <w:numPr>
          <w:ilvl w:val="0"/>
          <w:numId w:val="2"/>
        </w:numPr>
        <w:spacing w:before="30" w:after="30"/>
      </w:pPr>
      <w:r>
        <w:rPr>
          <w:rFonts w:ascii="Calibri" w:cs="Calibri" w:eastAsia="Calibri" w:hAnsi="Calibri"/>
          <w:color w:val="444444"/>
          <w:sz w:val="21"/>
          <w:szCs w:val="21"/>
        </w:rPr>
        <w:t xml:space="preserve">Reviews and approves bonus criteria at the start of each performance year</w:t>
      </w:r>
    </w:p>
    <w:p>
      <w:pPr>
        <w:pStyle w:val="ListParagraph"/>
        <w:numPr>
          <w:ilvl w:val="0"/>
          <w:numId w:val="2"/>
        </w:numPr>
        <w:spacing w:before="30" w:after="30"/>
      </w:pPr>
      <w:r>
        <w:rPr>
          <w:rFonts w:ascii="Calibri" w:cs="Calibri" w:eastAsia="Calibri" w:hAnsi="Calibri"/>
          <w:color w:val="444444"/>
          <w:sz w:val="21"/>
          <w:szCs w:val="21"/>
        </w:rPr>
        <w:t xml:space="preserve">Reviews and approves any non-standard compensation arrangements</w:t>
      </w:r>
    </w:p>
    <w:p>
      <w:pPr>
        <w:pStyle w:val="ListParagraph"/>
        <w:numPr>
          <w:ilvl w:val="0"/>
          <w:numId w:val="2"/>
        </w:numPr>
        <w:spacing w:before="30" w:after="30"/>
      </w:pPr>
      <w:r>
        <w:rPr>
          <w:rFonts w:ascii="Calibri" w:cs="Calibri" w:eastAsia="Calibri" w:hAnsi="Calibri"/>
          <w:color w:val="444444"/>
          <w:sz w:val="21"/>
          <w:szCs w:val="21"/>
        </w:rPr>
        <w:t xml:space="preserve">Maintains the compensation register and ensures it is up to date</w:t>
      </w:r>
    </w:p>
    <w:p>
      <w:pPr>
        <w:pStyle w:val="ListParagraph"/>
        <w:numPr>
          <w:ilvl w:val="0"/>
          <w:numId w:val="2"/>
        </w:numPr>
        <w:spacing w:before="30" w:after="30"/>
      </w:pPr>
      <w:r>
        <w:rPr>
          <w:rFonts w:ascii="Calibri" w:cs="Calibri" w:eastAsia="Calibri" w:hAnsi="Calibri"/>
          <w:color w:val="444444"/>
          <w:sz w:val="21"/>
          <w:szCs w:val="21"/>
        </w:rPr>
        <w:t xml:space="preserve">Reports to the full Family Council on compensation matters annually</w:t>
      </w:r>
    </w:p>
    <w:p>
      <w:pPr>
        <w:pStyle w:val="Heading2"/>
        <w:pBdr>
          <w:bottom w:val="single" w:color="C9A84C" w:sz="3" w:space="4"/>
        </w:pBdr>
        <w:spacing w:before="280" w:after="100"/>
      </w:pPr>
      <w:r>
        <w:rPr>
          <w:rFonts w:ascii="Georgia" w:cs="Georgia" w:eastAsia="Georgia" w:hAnsi="Georgia"/>
          <w:b/>
          <w:bCs/>
          <w:color w:val="1B2A4A"/>
          <w:sz w:val="24"/>
          <w:szCs w:val="24"/>
        </w:rPr>
        <w:t xml:space="preserve">4.4 No Self-Approval</w:t>
      </w:r>
    </w:p>
    <w:p>
      <w:pPr>
        <w:spacing w:before="40" w:after="80"/>
      </w:pPr>
      <w:r>
        <w:rPr>
          <w:rFonts w:ascii="Calibri" w:cs="Calibri" w:eastAsia="Calibri" w:hAnsi="Calibri"/>
          <w:color w:val="444444"/>
          <w:sz w:val="21"/>
          <w:szCs w:val="21"/>
        </w:rPr>
        <w:t xml:space="preserve">No family member may participate in decisions about their own compensation. A family member whose compensation is under review must recuse themselves from all Compensation Committee and Family Council discussions and votes on that matter.</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5. The Annual Review Process</w:t>
      </w:r>
    </w:p>
    <w:p>
      <w:pPr>
        <w:pStyle w:val="Heading2"/>
        <w:pBdr>
          <w:bottom w:val="single" w:color="C9A84C" w:sz="3" w:space="4"/>
        </w:pBdr>
        <w:spacing w:before="280" w:after="100"/>
      </w:pPr>
      <w:r>
        <w:rPr>
          <w:rFonts w:ascii="Georgia" w:cs="Georgia" w:eastAsia="Georgia" w:hAnsi="Georgia"/>
          <w:b/>
          <w:bCs/>
          <w:color w:val="1B2A4A"/>
          <w:sz w:val="24"/>
          <w:szCs w:val="24"/>
        </w:rPr>
        <w:t xml:space="preserve">5.1 Timing</w:t>
      </w:r>
    </w:p>
    <w:p>
      <w:pPr>
        <w:spacing w:before="40" w:after="80"/>
      </w:pPr>
      <w:r>
        <w:rPr>
          <w:rFonts w:ascii="Calibri" w:cs="Calibri" w:eastAsia="Calibri" w:hAnsi="Calibri"/>
          <w:color w:val="444444"/>
          <w:sz w:val="21"/>
          <w:szCs w:val="21"/>
        </w:rPr>
        <w:t xml:space="preserve">Compensation for all family employees is reviewed annually as part of the regular performance review cycle. Reviews take place in [month — e.g., October/November] for implementation on [date — e.g., 1 January] each year.</w:t>
      </w:r>
    </w:p>
    <w:p>
      <w:pPr>
        <w:pStyle w:val="Heading2"/>
        <w:pBdr>
          <w:bottom w:val="single" w:color="C9A84C" w:sz="3" w:space="4"/>
        </w:pBdr>
        <w:spacing w:before="280" w:after="100"/>
      </w:pPr>
      <w:r>
        <w:rPr>
          <w:rFonts w:ascii="Georgia" w:cs="Georgia" w:eastAsia="Georgia" w:hAnsi="Georgia"/>
          <w:b/>
          <w:bCs/>
          <w:color w:val="1B2A4A"/>
          <w:sz w:val="24"/>
          <w:szCs w:val="24"/>
        </w:rPr>
        <w:t xml:space="preserve">5.2 Process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Stage</w:t>
            </w:r>
          </w:p>
        </w:tc>
        <w:tc>
          <w:tcPr>
            <w:tcW w:type="dxa" w:w="696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Description</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1. Benchmarking</w:t>
            </w:r>
          </w:p>
        </w:tc>
        <w:tc>
          <w:tcPr>
            <w:tcW w:type="dxa" w:w="69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Compensation Committee gathers market data for each family employee role. Sources are documented.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2. Performance Input</w:t>
            </w:r>
          </w:p>
        </w:tc>
        <w:tc>
          <w:tcPr>
            <w:tcW w:type="dxa" w:w="6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Line manager (or Family Council Chair, if reporting lines involve family) provides a performance assessment for each family employee.</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3. Committee Review</w:t>
            </w:r>
          </w:p>
        </w:tc>
        <w:tc>
          <w:tcPr>
            <w:tcW w:type="dxa" w:w="69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Committee meets to review benchmarking data and performance assessments and recommend compensation for the coming year.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4. Approval</w:t>
            </w:r>
          </w:p>
        </w:tc>
        <w:tc>
          <w:tcPr>
            <w:tcW w:type="dxa" w:w="6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Committee recommendations are presented to the full Family Council for approval.</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5. Communication</w:t>
            </w:r>
          </w:p>
        </w:tc>
        <w:tc>
          <w:tcPr>
            <w:tcW w:type="dxa" w:w="69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Compensation decisions are communicated in writing to each family employee by the Chair or HR lead, with a clear explanation of the rationale.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1B2A4A"/>
                <w:sz w:val="20"/>
                <w:szCs w:val="20"/>
              </w:rPr>
              <w:t xml:space="preserve">6. Documentation</w:t>
            </w:r>
          </w:p>
        </w:tc>
        <w:tc>
          <w:tcPr>
            <w:tcW w:type="dxa" w:w="69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Updated compensation is recorded in the employment agreement (via amendment), the compensation register, and the payroll system.</w:t>
            </w:r>
          </w:p>
        </w:tc>
      </w:tr>
    </w:tbl>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6. Transparency and Confidentiality</w:t>
      </w:r>
    </w:p>
    <w:p>
      <w:pPr>
        <w:pStyle w:val="Heading2"/>
        <w:pBdr>
          <w:bottom w:val="single" w:color="C9A84C" w:sz="3" w:space="4"/>
        </w:pBdr>
        <w:spacing w:before="280" w:after="100"/>
      </w:pPr>
      <w:r>
        <w:rPr>
          <w:rFonts w:ascii="Georgia" w:cs="Georgia" w:eastAsia="Georgia" w:hAnsi="Georgia"/>
          <w:b/>
          <w:bCs/>
          <w:color w:val="1B2A4A"/>
          <w:sz w:val="24"/>
          <w:szCs w:val="24"/>
        </w:rPr>
        <w:t xml:space="preserve">6.1 Family Member Transparency</w:t>
      </w:r>
    </w:p>
    <w:p>
      <w:pPr>
        <w:spacing w:before="40" w:after="80"/>
      </w:pPr>
      <w:r>
        <w:rPr>
          <w:rFonts w:ascii="Calibri" w:cs="Calibri" w:eastAsia="Calibri" w:hAnsi="Calibri"/>
          <w:color w:val="444444"/>
          <w:sz w:val="21"/>
          <w:szCs w:val="21"/>
        </w:rPr>
        <w:t xml:space="preserve">All family members have the right to understand how their compensation is determined — the market benchmarking data, the criteria used, and the process followed. Upon request, the Compensation Committee Chair will meet with any family member to explain the basis for their compensation.</w:t>
      </w:r>
    </w:p>
    <w:p>
      <w:pPr>
        <w:pStyle w:val="Heading2"/>
        <w:pBdr>
          <w:bottom w:val="single" w:color="C9A84C" w:sz="3" w:space="4"/>
        </w:pBdr>
        <w:spacing w:before="280" w:after="100"/>
      </w:pPr>
      <w:r>
        <w:rPr>
          <w:rFonts w:ascii="Georgia" w:cs="Georgia" w:eastAsia="Georgia" w:hAnsi="Georgia"/>
          <w:b/>
          <w:bCs/>
          <w:color w:val="1B2A4A"/>
          <w:sz w:val="24"/>
          <w:szCs w:val="24"/>
        </w:rPr>
        <w:t xml:space="preserve">6.2 Confidentiality Between Family Members</w:t>
      </w:r>
    </w:p>
    <w:p>
      <w:pPr>
        <w:spacing w:before="40" w:after="80"/>
      </w:pPr>
      <w:r>
        <w:rPr>
          <w:rFonts w:ascii="Calibri" w:cs="Calibri" w:eastAsia="Calibri" w:hAnsi="Calibri"/>
          <w:color w:val="444444"/>
          <w:sz w:val="21"/>
          <w:szCs w:val="21"/>
        </w:rPr>
        <w:t xml:space="preserve">Individual compensation details are confidential between the family member, the Compensation Committee, and the payroll processor. Family members shall not disclose each other's specific compensation to one another without the consent of the individual, unless the Family Council has collectively agreed to full compensation transparency (a valid and increasingly common choice for family businesses).</w:t>
      </w:r>
    </w:p>
    <w:p>
      <w:pPr>
        <w:spacing w:before="200" w:after="80"/>
      </w:pPr>
      <w:r>
        <w:rPr>
          <w:rFonts w:ascii="Georgia" w:cs="Georgia" w:eastAsia="Georgia" w:hAnsi="Georgia"/>
          <w:b/>
          <w:bCs/>
          <w:color w:val="1B2A4A"/>
          <w:sz w:val="22"/>
          <w:szCs w:val="22"/>
        </w:rPr>
        <w:t xml:space="preserve">Transparency Option</w:t>
      </w:r>
    </w:p>
    <w:p>
      <w:pPr>
        <w:spacing w:before="40" w:after="80"/>
      </w:pPr>
      <w:r>
        <w:rPr>
          <w:rFonts w:ascii="Calibri" w:cs="Calibri" w:eastAsia="Calibri" w:hAnsi="Calibri"/>
          <w:color w:val="444444"/>
          <w:sz w:val="21"/>
          <w:szCs w:val="21"/>
        </w:rPr>
        <w:t xml:space="preserve">The family may choose to adopt full compensation transparency — where all family members' compensation is known to all other family members. This approach reduces speculation and conflict about whether family members are being treated fairly. Check here if the family adopts full compensation transparency: [ ]</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7. Disputes About Compensation</w:t>
      </w:r>
    </w:p>
    <w:p>
      <w:pPr>
        <w:spacing w:before="40" w:after="80"/>
      </w:pPr>
      <w:r>
        <w:rPr>
          <w:rFonts w:ascii="Calibri" w:cs="Calibri" w:eastAsia="Calibri" w:hAnsi="Calibri"/>
          <w:color w:val="444444"/>
          <w:sz w:val="21"/>
          <w:szCs w:val="21"/>
        </w:rPr>
        <w:t xml:space="preserve">Any family member who believes their compensation is not consistent with this Policy may raise the matter with the Compensation Committee Chair in writing. The Committee will review the matter within 30 days and provide a written response. If the family member is not satisfied, they may escalate using the Conflict Resolution Protocol.</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8. Adoption</w:t>
      </w:r>
    </w:p>
    <w:p>
      <w:pPr>
        <w:spacing w:before="40" w:after="80"/>
      </w:pPr>
      <w:r>
        <w:rPr>
          <w:rFonts w:ascii="Calibri" w:cs="Calibri" w:eastAsia="Calibri" w:hAnsi="Calibri"/>
          <w:color w:val="444444"/>
          <w:sz w:val="21"/>
          <w:szCs w:val="21"/>
        </w:rPr>
        <w:t xml:space="preserve">This Compensation Policy is adopted by the Family Council and applies to all family members employed in the business.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Georgia" w:cs="Georgia" w:eastAsia="Georgia" w:hAnsi="Georgia"/>
                <w:b/>
                <w:bCs/>
                <w:color w:val="1B2A4A"/>
                <w:sz w:val="21"/>
                <w:szCs w:val="21"/>
              </w:rPr>
              <w:t xml:space="preserve">[Family Council Chair]</w:t>
            </w:r>
          </w:p>
          <w:p>
            <w:pPr>
              <w:pBdr>
                <w:bottom w:val="single" w:color="1B2A4A" w:sz="2"/>
              </w:pBdr>
              <w:spacing w:before="260" w:after="60"/>
            </w:pPr>
            <w:r>
              <w:t xml:space="preserve"> </w:t>
            </w:r>
          </w:p>
          <w:p>
            <w:pPr>
              <w:spacing w:before="0" w:after="60"/>
            </w:pPr>
            <w:r>
              <w:rPr>
                <w:rFonts w:ascii="Calibri" w:cs="Calibri" w:eastAsia="Calibri" w:hAnsi="Calibri"/>
                <w:color w:val="888888"/>
                <w:sz w:val="18"/>
                <w:szCs w:val="18"/>
              </w:rPr>
              <w:t xml:space="preserve">Signature</w:t>
            </w:r>
          </w:p>
          <w:p>
            <w:pPr>
              <w:pBdr>
                <w:bottom w:val="single" w:color="1B2A4A" w:sz="2"/>
              </w:pBdr>
              <w:spacing w:before="180" w:after="60"/>
            </w:pPr>
            <w:r>
              <w:t xml:space="preserve"> </w:t>
            </w:r>
          </w:p>
          <w:p>
            <w:pPr>
              <w:spacing w:before="0" w:after="60"/>
            </w:pPr>
            <w:r>
              <w:rPr>
                <w:rFonts w:ascii="Calibri" w:cs="Calibri" w:eastAsia="Calibri" w:hAnsi="Calibri"/>
                <w:color w:val="888888"/>
                <w:sz w:val="18"/>
                <w:szCs w:val="18"/>
              </w:rPr>
              <w:t xml:space="preserve">Printed Name &amp; Title</w:t>
            </w:r>
          </w:p>
          <w:p>
            <w:pPr>
              <w:pBdr>
                <w:bottom w:val="single" w:color="1B2A4A" w:sz="2"/>
              </w:pBdr>
              <w:spacing w:before="180" w:after="60"/>
            </w:pPr>
            <w:r>
              <w:t xml:space="preserve"> </w:t>
            </w:r>
          </w:p>
          <w:p>
            <w:pPr>
              <w:spacing w:before="0" w:after="0"/>
            </w:pPr>
            <w:r>
              <w:rPr>
                <w:rFonts w:ascii="Calibri" w:cs="Calibri" w:eastAsia="Calibri" w:hAnsi="Calibri"/>
                <w:color w:val="888888"/>
                <w:sz w:val="18"/>
                <w:szCs w:val="18"/>
              </w:rPr>
              <w:t xml:space="preserve">Date</w:t>
            </w:r>
          </w:p>
        </w:tc>
        <w:tc>
          <w:tcPr>
            <w:tcW w:type="dxa" w:w="720"/>
            <w:tcBorders>
              <w:top w:val="none" w:color="FFFFFF" w:sz="0"/>
              <w:left w:val="none" w:color="FFFFFF" w:sz="0"/>
              <w:bottom w:val="none" w:color="FFFFFF" w:sz="0"/>
              <w:right w:val="none" w:color="FFFFFF" w:sz="0"/>
            </w:tcBorders>
          </w:tcPr>
          <w:p>
            <w:r>
              <w:t xml:space="preserve"/>
            </w:r>
          </w:p>
        </w:tc>
        <w:tc>
          <w:tcPr>
            <w:tcW w:type="dxa" w:w="432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Georgia" w:cs="Georgia" w:eastAsia="Georgia" w:hAnsi="Georgia"/>
                <w:b/>
                <w:bCs/>
                <w:color w:val="1B2A4A"/>
                <w:sz w:val="21"/>
                <w:szCs w:val="21"/>
              </w:rPr>
              <w:t xml:space="preserve">[Family Member — [Name]]</w:t>
            </w:r>
          </w:p>
          <w:p>
            <w:pPr>
              <w:pBdr>
                <w:bottom w:val="single" w:color="1B2A4A" w:sz="2"/>
              </w:pBdr>
              <w:spacing w:before="260" w:after="60"/>
            </w:pPr>
            <w:r>
              <w:t xml:space="preserve"> </w:t>
            </w:r>
          </w:p>
          <w:p>
            <w:pPr>
              <w:spacing w:before="0" w:after="60"/>
            </w:pPr>
            <w:r>
              <w:rPr>
                <w:rFonts w:ascii="Calibri" w:cs="Calibri" w:eastAsia="Calibri" w:hAnsi="Calibri"/>
                <w:color w:val="888888"/>
                <w:sz w:val="18"/>
                <w:szCs w:val="18"/>
              </w:rPr>
              <w:t xml:space="preserve">Signature</w:t>
            </w:r>
          </w:p>
          <w:p>
            <w:pPr>
              <w:pBdr>
                <w:bottom w:val="single" w:color="1B2A4A" w:sz="2"/>
              </w:pBdr>
              <w:spacing w:before="180" w:after="60"/>
            </w:pPr>
            <w:r>
              <w:t xml:space="preserve"> </w:t>
            </w:r>
          </w:p>
          <w:p>
            <w:pPr>
              <w:spacing w:before="0" w:after="60"/>
            </w:pPr>
            <w:r>
              <w:rPr>
                <w:rFonts w:ascii="Calibri" w:cs="Calibri" w:eastAsia="Calibri" w:hAnsi="Calibri"/>
                <w:color w:val="888888"/>
                <w:sz w:val="18"/>
                <w:szCs w:val="18"/>
              </w:rPr>
              <w:t xml:space="preserve">Printed Name &amp; Title</w:t>
            </w:r>
          </w:p>
          <w:p>
            <w:pPr>
              <w:pBdr>
                <w:bottom w:val="single" w:color="1B2A4A" w:sz="2"/>
              </w:pBdr>
              <w:spacing w:before="180" w:after="60"/>
            </w:pPr>
            <w:r>
              <w:t xml:space="preserve"> </w:t>
            </w:r>
          </w:p>
          <w:p>
            <w:pPr>
              <w:spacing w:before="0" w:after="0"/>
            </w:pPr>
            <w:r>
              <w:rPr>
                <w:rFonts w:ascii="Calibri" w:cs="Calibri" w:eastAsia="Calibri" w:hAnsi="Calibri"/>
                <w:color w:val="888888"/>
                <w:sz w:val="18"/>
                <w:szCs w:val="18"/>
              </w:rPr>
              <w:t xml:space="preserve">Date</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Georgia" w:cs="Georgia" w:eastAsia="Georgia" w:hAnsi="Georgia"/>
                <w:b/>
                <w:bCs/>
                <w:color w:val="1B2A4A"/>
                <w:sz w:val="21"/>
                <w:szCs w:val="21"/>
              </w:rPr>
              <w:t xml:space="preserve">[Family Member — [Name]]</w:t>
            </w:r>
          </w:p>
          <w:p>
            <w:pPr>
              <w:pBdr>
                <w:bottom w:val="single" w:color="1B2A4A" w:sz="2"/>
              </w:pBdr>
              <w:spacing w:before="260" w:after="60"/>
            </w:pPr>
            <w:r>
              <w:t xml:space="preserve"> </w:t>
            </w:r>
          </w:p>
          <w:p>
            <w:pPr>
              <w:spacing w:before="0" w:after="60"/>
            </w:pPr>
            <w:r>
              <w:rPr>
                <w:rFonts w:ascii="Calibri" w:cs="Calibri" w:eastAsia="Calibri" w:hAnsi="Calibri"/>
                <w:color w:val="888888"/>
                <w:sz w:val="18"/>
                <w:szCs w:val="18"/>
              </w:rPr>
              <w:t xml:space="preserve">Signature</w:t>
            </w:r>
          </w:p>
          <w:p>
            <w:pPr>
              <w:pBdr>
                <w:bottom w:val="single" w:color="1B2A4A" w:sz="2"/>
              </w:pBdr>
              <w:spacing w:before="180" w:after="60"/>
            </w:pPr>
            <w:r>
              <w:t xml:space="preserve"> </w:t>
            </w:r>
          </w:p>
          <w:p>
            <w:pPr>
              <w:spacing w:before="0" w:after="60"/>
            </w:pPr>
            <w:r>
              <w:rPr>
                <w:rFonts w:ascii="Calibri" w:cs="Calibri" w:eastAsia="Calibri" w:hAnsi="Calibri"/>
                <w:color w:val="888888"/>
                <w:sz w:val="18"/>
                <w:szCs w:val="18"/>
              </w:rPr>
              <w:t xml:space="preserve">Printed Name &amp; Title</w:t>
            </w:r>
          </w:p>
          <w:p>
            <w:pPr>
              <w:pBdr>
                <w:bottom w:val="single" w:color="1B2A4A" w:sz="2"/>
              </w:pBdr>
              <w:spacing w:before="180" w:after="60"/>
            </w:pPr>
            <w:r>
              <w:t xml:space="preserve"> </w:t>
            </w:r>
          </w:p>
          <w:p>
            <w:pPr>
              <w:spacing w:before="0" w:after="0"/>
            </w:pPr>
            <w:r>
              <w:rPr>
                <w:rFonts w:ascii="Calibri" w:cs="Calibri" w:eastAsia="Calibri" w:hAnsi="Calibri"/>
                <w:color w:val="888888"/>
                <w:sz w:val="18"/>
                <w:szCs w:val="18"/>
              </w:rPr>
              <w:t xml:space="preserve">Date</w:t>
            </w:r>
          </w:p>
        </w:tc>
        <w:tc>
          <w:tcPr>
            <w:tcW w:type="dxa" w:w="720"/>
            <w:tcBorders>
              <w:top w:val="none" w:color="FFFFFF" w:sz="0"/>
              <w:left w:val="none" w:color="FFFFFF" w:sz="0"/>
              <w:bottom w:val="none" w:color="FFFFFF" w:sz="0"/>
              <w:right w:val="none" w:color="FFFFFF" w:sz="0"/>
            </w:tcBorders>
          </w:tcPr>
          <w:p>
            <w:r>
              <w:t xml:space="preserve"/>
            </w:r>
          </w:p>
        </w:tc>
        <w:tc>
          <w:tcPr>
            <w:tcW w:type="dxa" w:w="432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Georgia" w:cs="Georgia" w:eastAsia="Georgia" w:hAnsi="Georgia"/>
                <w:b/>
                <w:bCs/>
                <w:color w:val="1B2A4A"/>
                <w:sz w:val="21"/>
                <w:szCs w:val="21"/>
              </w:rPr>
              <w:t xml:space="preserve">[Family Member — [Name]]</w:t>
            </w:r>
          </w:p>
          <w:p>
            <w:pPr>
              <w:pBdr>
                <w:bottom w:val="single" w:color="1B2A4A" w:sz="2"/>
              </w:pBdr>
              <w:spacing w:before="260" w:after="60"/>
            </w:pPr>
            <w:r>
              <w:t xml:space="preserve"> </w:t>
            </w:r>
          </w:p>
          <w:p>
            <w:pPr>
              <w:spacing w:before="0" w:after="60"/>
            </w:pPr>
            <w:r>
              <w:rPr>
                <w:rFonts w:ascii="Calibri" w:cs="Calibri" w:eastAsia="Calibri" w:hAnsi="Calibri"/>
                <w:color w:val="888888"/>
                <w:sz w:val="18"/>
                <w:szCs w:val="18"/>
              </w:rPr>
              <w:t xml:space="preserve">Signature</w:t>
            </w:r>
          </w:p>
          <w:p>
            <w:pPr>
              <w:pBdr>
                <w:bottom w:val="single" w:color="1B2A4A" w:sz="2"/>
              </w:pBdr>
              <w:spacing w:before="180" w:after="60"/>
            </w:pPr>
            <w:r>
              <w:t xml:space="preserve"> </w:t>
            </w:r>
          </w:p>
          <w:p>
            <w:pPr>
              <w:spacing w:before="0" w:after="60"/>
            </w:pPr>
            <w:r>
              <w:rPr>
                <w:rFonts w:ascii="Calibri" w:cs="Calibri" w:eastAsia="Calibri" w:hAnsi="Calibri"/>
                <w:color w:val="888888"/>
                <w:sz w:val="18"/>
                <w:szCs w:val="18"/>
              </w:rPr>
              <w:t xml:space="preserve">Printed Name &amp; Title</w:t>
            </w:r>
          </w:p>
          <w:p>
            <w:pPr>
              <w:pBdr>
                <w:bottom w:val="single" w:color="1B2A4A" w:sz="2"/>
              </w:pBdr>
              <w:spacing w:before="180" w:after="60"/>
            </w:pPr>
            <w:r>
              <w:t xml:space="preserve"> </w:t>
            </w:r>
          </w:p>
          <w:p>
            <w:pPr>
              <w:spacing w:before="0" w:after="0"/>
            </w:pPr>
            <w:r>
              <w:rPr>
                <w:rFonts w:ascii="Calibri" w:cs="Calibri" w:eastAsia="Calibri" w:hAnsi="Calibri"/>
                <w:color w:val="888888"/>
                <w:sz w:val="18"/>
                <w:szCs w:val="18"/>
              </w:rPr>
              <w:t xml:space="preserve">Date</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84C" w:sz="4"/>
              <w:left w:val="single" w:color="C9A84C" w:sz="4"/>
              <w:bottom w:val="single" w:color="C9A84C" w:sz="4"/>
              <w:right w:val="single" w:color="C9A84C" w:sz="4"/>
            </w:tcBorders>
            <w:shd w:fill="FFFBF0" w:val="clear"/>
            <w:tcMar>
              <w:top w:type="dxa" w:w="120"/>
              <w:left w:type="dxa" w:w="200"/>
              <w:bottom w:type="dxa" w:w="120"/>
              <w:right w:type="dxa" w:w="200"/>
            </w:tcMar>
          </w:tcPr>
          <w:p>
            <w:pPr>
              <w:spacing w:before="0" w:after="0"/>
            </w:pPr>
            <w:r>
              <w:rPr>
                <w:rFonts w:ascii="Calibri" w:cs="Calibri" w:eastAsia="Calibri" w:hAnsi="Calibri"/>
                <w:b/>
                <w:bCs/>
                <w:color w:val="8B6914"/>
                <w:sz w:val="19"/>
                <w:szCs w:val="19"/>
              </w:rPr>
              <w:t xml:space="preserve">⚠️ Legal Disclaimer: </w:t>
            </w:r>
            <w:r>
              <w:rPr>
                <w:rFonts w:ascii="Calibri" w:cs="Calibri" w:eastAsia="Calibri" w:hAnsi="Calibri"/>
                <w:color w:val="5C4A00"/>
                <w:sz w:val="19"/>
                <w:szCs w:val="19"/>
              </w:rPr>
              <w:t xml:space="preserve">This document is an AI-assisted template provided by The Family Business Playbook for organizational purposes only. It does not constitute legal advice. All documents should be reviewed by a qualified attorney before being signed or relied upon.</w:t>
            </w:r>
          </w:p>
        </w:tc>
      </w:tr>
    </w:tbl>
    <w:sectPr>
      <w:pgSz w:w="12240" w:h="15840" w:orient="portrait"/>
      <w:pgMar w:top="1260" w:right="126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40"/>
      <w:outlineLvl w:val="0"/>
    </w:pPr>
    <w:rPr>
      <w:rFonts w:ascii="Georgia" w:cs="Georgia" w:eastAsia="Georgia" w:hAnsi="Georgia"/>
      <w:b/>
      <w:bCs/>
      <w:color w:val="1B2A4A"/>
      <w:sz w:val="30"/>
      <w:szCs w:val="30"/>
    </w:rPr>
  </w:style>
  <w:style w:type="paragraph" w:styleId="Heading2">
    <w:name w:val="Heading 2"/>
    <w:basedOn w:val="Normal"/>
    <w:next w:val="Normal"/>
    <w:qFormat/>
    <w:pPr>
      <w:spacing w:before="280" w:after="100"/>
      <w:outlineLvl w:val="1"/>
    </w:pPr>
    <w:rPr>
      <w:rFonts w:ascii="Georgia" w:cs="Georgia" w:eastAsia="Georgia" w:hAnsi="Georgia"/>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2026-03-05T19:59:33.040Z</dcterms:created>
  <dcterms:modified xsi:type="dcterms:W3CDTF">2026-03-05T19:59:33.040Z</dcterms:modified>
</cp:coreProperties>
</file>

<file path=docProps/custom.xml><?xml version="1.0" encoding="utf-8"?>
<Properties xmlns="http://schemas.openxmlformats.org/officeDocument/2006/custom-properties" xmlns:vt="http://schemas.openxmlformats.org/officeDocument/2006/docPropsVTypes"/>
</file>